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FB6F" w14:textId="1611ECD3" w:rsidR="00B377FC" w:rsidRPr="00CE59A1" w:rsidRDefault="00D017C3" w:rsidP="00EC1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24"/>
        </w:rPr>
      </w:pPr>
      <w:r w:rsidRPr="00CE59A1">
        <w:rPr>
          <w:b/>
          <w:bCs/>
          <w:sz w:val="32"/>
          <w:szCs w:val="24"/>
        </w:rPr>
        <w:t xml:space="preserve">Beach and Beach </w:t>
      </w:r>
      <w:r w:rsidR="00537528">
        <w:rPr>
          <w:b/>
          <w:bCs/>
          <w:sz w:val="32"/>
          <w:szCs w:val="24"/>
        </w:rPr>
        <w:t>Facility</w:t>
      </w:r>
      <w:r w:rsidRPr="00CE59A1">
        <w:rPr>
          <w:b/>
          <w:bCs/>
          <w:sz w:val="32"/>
          <w:szCs w:val="24"/>
        </w:rPr>
        <w:t xml:space="preserve"> Polic</w:t>
      </w:r>
      <w:r w:rsidR="00AE3721">
        <w:rPr>
          <w:b/>
          <w:bCs/>
          <w:sz w:val="32"/>
          <w:szCs w:val="24"/>
        </w:rPr>
        <w:t>y</w:t>
      </w:r>
    </w:p>
    <w:p w14:paraId="392C367A" w14:textId="44B63EF0" w:rsidR="00B4254C" w:rsidRDefault="00B4254C" w:rsidP="00B530D1"/>
    <w:p w14:paraId="3BCE14BB" w14:textId="486CAE4A" w:rsidR="000336D9" w:rsidRPr="002E6BD5" w:rsidRDefault="000336D9" w:rsidP="00B530D1">
      <w:pPr>
        <w:rPr>
          <w:b/>
          <w:bCs/>
        </w:rPr>
      </w:pPr>
      <w:r w:rsidRPr="002E6BD5">
        <w:rPr>
          <w:b/>
          <w:bCs/>
        </w:rPr>
        <w:t>Introduction</w:t>
      </w:r>
    </w:p>
    <w:p w14:paraId="0C67224E" w14:textId="2D8C57C5" w:rsidR="000336D9" w:rsidRDefault="002B2C7D" w:rsidP="00B530D1">
      <w:r>
        <w:t>The beaches</w:t>
      </w:r>
      <w:r w:rsidR="00CE64D0">
        <w:t xml:space="preserve">, and promenades </w:t>
      </w:r>
      <w:r w:rsidR="00DB6FC8">
        <w:t>of Torbay are managed by the Tor Bay Harbour Authority</w:t>
      </w:r>
      <w:r w:rsidR="000A6E94">
        <w:t xml:space="preserve"> who are a section of Torbay Council</w:t>
      </w:r>
      <w:r w:rsidR="00A211BC">
        <w:t>. T</w:t>
      </w:r>
      <w:r w:rsidR="003334E2">
        <w:t>he Authority</w:t>
      </w:r>
      <w:r w:rsidR="00A211BC">
        <w:t xml:space="preserve"> </w:t>
      </w:r>
      <w:r w:rsidR="00360BBF">
        <w:t xml:space="preserve">are </w:t>
      </w:r>
      <w:r w:rsidR="00A211BC">
        <w:t>responsible for the maintenance</w:t>
      </w:r>
      <w:r w:rsidR="0032488E">
        <w:t xml:space="preserve"> of </w:t>
      </w:r>
      <w:r w:rsidR="000F4112">
        <w:t xml:space="preserve">all </w:t>
      </w:r>
      <w:r w:rsidR="0032488E">
        <w:t xml:space="preserve">infrastructure </w:t>
      </w:r>
      <w:r w:rsidR="000F4112">
        <w:t>relating to Torbay’s</w:t>
      </w:r>
      <w:r w:rsidR="0032488E">
        <w:t xml:space="preserve"> beach</w:t>
      </w:r>
      <w:r w:rsidR="000F4112">
        <w:t xml:space="preserve"> assets</w:t>
      </w:r>
      <w:r w:rsidR="0032488E">
        <w:t xml:space="preserve"> and</w:t>
      </w:r>
      <w:r w:rsidR="000F4112">
        <w:t xml:space="preserve"> therefore</w:t>
      </w:r>
      <w:r w:rsidR="0032488E">
        <w:t xml:space="preserve"> ensuring a </w:t>
      </w:r>
      <w:r w:rsidR="002015E9">
        <w:t>safe environment</w:t>
      </w:r>
      <w:r w:rsidR="00C55EB0">
        <w:t xml:space="preserve"> for public use.</w:t>
      </w:r>
      <w:r w:rsidR="00B66714">
        <w:t xml:space="preserve"> Some beach locations have </w:t>
      </w:r>
      <w:r w:rsidR="00360BBF">
        <w:t>f</w:t>
      </w:r>
      <w:r w:rsidR="00B66714">
        <w:t xml:space="preserve">acilities </w:t>
      </w:r>
      <w:r w:rsidR="00170968">
        <w:t xml:space="preserve">such as chalets which are also </w:t>
      </w:r>
      <w:r w:rsidR="004833C8">
        <w:t xml:space="preserve">managed by the </w:t>
      </w:r>
      <w:r w:rsidR="00C864AE">
        <w:t>A</w:t>
      </w:r>
      <w:r w:rsidR="004833C8">
        <w:t>uthority</w:t>
      </w:r>
      <w:r w:rsidR="00C864AE">
        <w:t xml:space="preserve">. </w:t>
      </w:r>
      <w:r w:rsidR="002015E9">
        <w:t>Torbay</w:t>
      </w:r>
      <w:r w:rsidR="00CE4269">
        <w:t xml:space="preserve"> has </w:t>
      </w:r>
      <w:r w:rsidR="00D76202">
        <w:t>20 accessible</w:t>
      </w:r>
      <w:r w:rsidR="00C864AE">
        <w:t xml:space="preserve"> beaches</w:t>
      </w:r>
      <w:r w:rsidR="000F4112">
        <w:t>,</w:t>
      </w:r>
      <w:r w:rsidR="00C864AE">
        <w:t xml:space="preserve"> </w:t>
      </w:r>
      <w:r w:rsidR="00D76202">
        <w:t xml:space="preserve">which </w:t>
      </w:r>
      <w:r w:rsidR="00C864AE">
        <w:t xml:space="preserve">are kept to a high standard </w:t>
      </w:r>
      <w:r w:rsidR="002015E9">
        <w:t xml:space="preserve">and are consistently </w:t>
      </w:r>
      <w:r w:rsidR="0020320A">
        <w:t xml:space="preserve">given </w:t>
      </w:r>
      <w:r w:rsidR="001F089B">
        <w:t>international re</w:t>
      </w:r>
      <w:r w:rsidR="00751352">
        <w:t>cognised awards</w:t>
      </w:r>
      <w:r w:rsidR="003D765C">
        <w:t>.</w:t>
      </w:r>
    </w:p>
    <w:p w14:paraId="2B2F011F" w14:textId="1577527D" w:rsidR="003D765C" w:rsidRDefault="00AE3721" w:rsidP="00B530D1">
      <w:r w:rsidRPr="00AE3721">
        <w:t xml:space="preserve">This policy is not a legal </w:t>
      </w:r>
      <w:proofErr w:type="gramStart"/>
      <w:r w:rsidRPr="00AE3721">
        <w:t>document</w:t>
      </w:r>
      <w:proofErr w:type="gramEnd"/>
      <w:r w:rsidRPr="00AE3721">
        <w:t xml:space="preserve"> and the Harbour Authority reserves the right to exercise its absolute discretion over any decision and reserves the right to amend and or republish the conditions at any time.  </w:t>
      </w:r>
    </w:p>
    <w:p w14:paraId="1DA44F4B" w14:textId="4CB68FF4" w:rsidR="002B24E8" w:rsidRDefault="002B24E8" w:rsidP="00B530D1">
      <w:r w:rsidRPr="002B24E8">
        <w:t xml:space="preserve">We have tried to include all situations and circumstances, however if an issue arises that has not been considered </w:t>
      </w:r>
      <w:r>
        <w:t>the Authority</w:t>
      </w:r>
      <w:r w:rsidRPr="002B24E8">
        <w:t xml:space="preserve"> will undertake to ensure that an open, </w:t>
      </w:r>
      <w:proofErr w:type="gramStart"/>
      <w:r w:rsidRPr="002B24E8">
        <w:t>fair</w:t>
      </w:r>
      <w:proofErr w:type="gramEnd"/>
      <w:r w:rsidRPr="002B24E8">
        <w:t xml:space="preserve"> and just resolution is sought.  </w:t>
      </w:r>
    </w:p>
    <w:p w14:paraId="1E99614B" w14:textId="63E74EFC" w:rsidR="00A363CF" w:rsidRPr="002E6BD5" w:rsidRDefault="00A24468" w:rsidP="00B530D1">
      <w:pPr>
        <w:rPr>
          <w:b/>
          <w:bCs/>
        </w:rPr>
      </w:pPr>
      <w:r w:rsidRPr="002E6BD5">
        <w:rPr>
          <w:b/>
          <w:bCs/>
        </w:rPr>
        <w:t>Definitions</w:t>
      </w:r>
    </w:p>
    <w:p w14:paraId="7F9E5EC0" w14:textId="33CBC513" w:rsidR="00A24468" w:rsidRDefault="00200759" w:rsidP="002E6BD5">
      <w:pPr>
        <w:pStyle w:val="ListParagraph"/>
        <w:numPr>
          <w:ilvl w:val="0"/>
          <w:numId w:val="10"/>
        </w:numPr>
      </w:pPr>
      <w:r w:rsidRPr="00D349E1">
        <w:rPr>
          <w:b/>
          <w:bCs/>
        </w:rPr>
        <w:t>“</w:t>
      </w:r>
      <w:r w:rsidR="00A24468" w:rsidRPr="00D349E1">
        <w:rPr>
          <w:b/>
          <w:bCs/>
        </w:rPr>
        <w:t>Facility</w:t>
      </w:r>
      <w:r w:rsidR="005574BE" w:rsidRPr="00D349E1">
        <w:rPr>
          <w:b/>
          <w:bCs/>
        </w:rPr>
        <w:t>”</w:t>
      </w:r>
      <w:r w:rsidR="008752CC">
        <w:t xml:space="preserve"> means a </w:t>
      </w:r>
      <w:r w:rsidR="00FA3591">
        <w:t xml:space="preserve">hut site, cabin, or chalet. </w:t>
      </w:r>
    </w:p>
    <w:p w14:paraId="3D32D80C" w14:textId="3F736C1E" w:rsidR="002E6BD5" w:rsidRDefault="005574BE" w:rsidP="002E6BD5">
      <w:pPr>
        <w:pStyle w:val="ListParagraph"/>
        <w:numPr>
          <w:ilvl w:val="0"/>
          <w:numId w:val="10"/>
        </w:numPr>
      </w:pPr>
      <w:r w:rsidRPr="00D349E1">
        <w:rPr>
          <w:b/>
          <w:bCs/>
        </w:rPr>
        <w:t>“</w:t>
      </w:r>
      <w:r w:rsidR="002E6BD5" w:rsidRPr="00D349E1">
        <w:rPr>
          <w:b/>
          <w:bCs/>
        </w:rPr>
        <w:t>Authority</w:t>
      </w:r>
      <w:r w:rsidRPr="00D349E1">
        <w:rPr>
          <w:b/>
          <w:bCs/>
        </w:rPr>
        <w:t>”</w:t>
      </w:r>
      <w:r w:rsidR="002005FD">
        <w:t xml:space="preserve"> means the Tor Bay Harbour Authority</w:t>
      </w:r>
    </w:p>
    <w:p w14:paraId="5B19C0AF" w14:textId="464F542E" w:rsidR="00AF7319" w:rsidRDefault="005574BE" w:rsidP="002E6BD5">
      <w:pPr>
        <w:pStyle w:val="ListParagraph"/>
        <w:numPr>
          <w:ilvl w:val="0"/>
          <w:numId w:val="10"/>
        </w:numPr>
      </w:pPr>
      <w:r w:rsidRPr="00D349E1">
        <w:rPr>
          <w:b/>
          <w:bCs/>
        </w:rPr>
        <w:t>“</w:t>
      </w:r>
      <w:r w:rsidR="00662091" w:rsidRPr="00D349E1">
        <w:rPr>
          <w:b/>
          <w:bCs/>
        </w:rPr>
        <w:t>R</w:t>
      </w:r>
      <w:r w:rsidR="00E24829" w:rsidRPr="00D349E1">
        <w:rPr>
          <w:b/>
          <w:bCs/>
        </w:rPr>
        <w:t>egion</w:t>
      </w:r>
      <w:r w:rsidRPr="00D349E1">
        <w:rPr>
          <w:b/>
          <w:bCs/>
        </w:rPr>
        <w:t>”</w:t>
      </w:r>
      <w:r w:rsidR="002005FD">
        <w:t xml:space="preserve"> means </w:t>
      </w:r>
      <w:r w:rsidR="00893BA3">
        <w:t>a section of beach hut sites at a beach</w:t>
      </w:r>
      <w:r w:rsidR="009811BD">
        <w:t xml:space="preserve"> location </w:t>
      </w:r>
      <w:proofErr w:type="gramStart"/>
      <w:r w:rsidR="009811BD">
        <w:t>eg</w:t>
      </w:r>
      <w:proofErr w:type="gramEnd"/>
      <w:r w:rsidR="009811BD">
        <w:t xml:space="preserve"> Preston sea facing</w:t>
      </w:r>
    </w:p>
    <w:p w14:paraId="037C383C" w14:textId="17632471" w:rsidR="00662091" w:rsidRDefault="005574BE" w:rsidP="002E6BD5">
      <w:pPr>
        <w:pStyle w:val="ListParagraph"/>
        <w:numPr>
          <w:ilvl w:val="0"/>
          <w:numId w:val="10"/>
        </w:numPr>
      </w:pPr>
      <w:r w:rsidRPr="00D349E1">
        <w:rPr>
          <w:b/>
          <w:bCs/>
        </w:rPr>
        <w:t>“</w:t>
      </w:r>
      <w:r w:rsidR="00662091" w:rsidRPr="00D349E1">
        <w:rPr>
          <w:b/>
          <w:bCs/>
        </w:rPr>
        <w:t>Summer</w:t>
      </w:r>
      <w:r w:rsidRPr="00D349E1">
        <w:rPr>
          <w:b/>
          <w:bCs/>
        </w:rPr>
        <w:t>”</w:t>
      </w:r>
      <w:r w:rsidR="004E32DD">
        <w:t xml:space="preserve"> season/period</w:t>
      </w:r>
      <w:r w:rsidR="009811BD">
        <w:t xml:space="preserve"> means </w:t>
      </w:r>
      <w:r w:rsidR="00C30C35">
        <w:t>1</w:t>
      </w:r>
      <w:r w:rsidR="00C30C35" w:rsidRPr="00C30C35">
        <w:rPr>
          <w:vertAlign w:val="superscript"/>
        </w:rPr>
        <w:t>st</w:t>
      </w:r>
      <w:r w:rsidR="00C30C35">
        <w:t xml:space="preserve"> May to 30</w:t>
      </w:r>
      <w:r w:rsidR="00C30C35" w:rsidRPr="00C30C35">
        <w:rPr>
          <w:vertAlign w:val="superscript"/>
        </w:rPr>
        <w:t>th</w:t>
      </w:r>
      <w:r w:rsidR="00C30C35">
        <w:t xml:space="preserve"> September</w:t>
      </w:r>
    </w:p>
    <w:p w14:paraId="02FEB8A4" w14:textId="0FD5CBFA" w:rsidR="003C7305" w:rsidRDefault="00D349E1" w:rsidP="002E6BD5">
      <w:pPr>
        <w:pStyle w:val="ListParagraph"/>
        <w:numPr>
          <w:ilvl w:val="0"/>
          <w:numId w:val="10"/>
        </w:numPr>
      </w:pPr>
      <w:r w:rsidRPr="00D349E1">
        <w:rPr>
          <w:b/>
          <w:bCs/>
        </w:rPr>
        <w:t>“</w:t>
      </w:r>
      <w:r w:rsidR="003C7305" w:rsidRPr="00D349E1">
        <w:rPr>
          <w:b/>
          <w:bCs/>
        </w:rPr>
        <w:t>Counc</w:t>
      </w:r>
      <w:r w:rsidR="00FB4D8C" w:rsidRPr="00D349E1">
        <w:rPr>
          <w:b/>
          <w:bCs/>
        </w:rPr>
        <w:t>il</w:t>
      </w:r>
      <w:r w:rsidRPr="00D349E1">
        <w:rPr>
          <w:b/>
          <w:bCs/>
        </w:rPr>
        <w:t>”</w:t>
      </w:r>
      <w:r w:rsidR="00C30C35">
        <w:t xml:space="preserve"> means T</w:t>
      </w:r>
      <w:r w:rsidR="00197876">
        <w:t>orbay Council</w:t>
      </w:r>
    </w:p>
    <w:p w14:paraId="58B44920" w14:textId="19494605" w:rsidR="0022413B" w:rsidRDefault="00D349E1" w:rsidP="002E6BD5">
      <w:pPr>
        <w:pStyle w:val="ListParagraph"/>
        <w:numPr>
          <w:ilvl w:val="0"/>
          <w:numId w:val="10"/>
        </w:numPr>
      </w:pPr>
      <w:r w:rsidRPr="00D349E1">
        <w:rPr>
          <w:b/>
          <w:bCs/>
        </w:rPr>
        <w:t>“</w:t>
      </w:r>
      <w:proofErr w:type="spellStart"/>
      <w:r w:rsidR="004E1986" w:rsidRPr="00D349E1">
        <w:rPr>
          <w:b/>
          <w:bCs/>
        </w:rPr>
        <w:t>SWISCo</w:t>
      </w:r>
      <w:proofErr w:type="spellEnd"/>
      <w:r w:rsidRPr="00D349E1">
        <w:rPr>
          <w:b/>
          <w:bCs/>
        </w:rPr>
        <w:t>”</w:t>
      </w:r>
      <w:r w:rsidR="00197876">
        <w:t xml:space="preserve"> </w:t>
      </w:r>
      <w:r w:rsidR="00FA65E1">
        <w:t xml:space="preserve">is a </w:t>
      </w:r>
      <w:r w:rsidR="007B23EA">
        <w:t>whol</w:t>
      </w:r>
      <w:r w:rsidR="00616352">
        <w:t>ly</w:t>
      </w:r>
      <w:r w:rsidR="007B23EA">
        <w:t xml:space="preserve"> own company</w:t>
      </w:r>
      <w:r w:rsidR="00616352">
        <w:t xml:space="preserve"> of Torbay Council</w:t>
      </w:r>
      <w:r w:rsidR="007D1D0B">
        <w:t xml:space="preserve"> who provide </w:t>
      </w:r>
      <w:r w:rsidR="00BF7B05">
        <w:t>services to the bay</w:t>
      </w:r>
    </w:p>
    <w:p w14:paraId="51C20277" w14:textId="7957BD92" w:rsidR="00FB4D8C" w:rsidRPr="00F40EAB" w:rsidRDefault="00FB4D8C" w:rsidP="00B530D1">
      <w:pPr>
        <w:rPr>
          <w:b/>
          <w:bCs/>
        </w:rPr>
      </w:pPr>
      <w:r w:rsidRPr="00F40EAB">
        <w:rPr>
          <w:b/>
          <w:bCs/>
        </w:rPr>
        <w:t xml:space="preserve">Types of </w:t>
      </w:r>
      <w:r w:rsidR="00DE2E86" w:rsidRPr="00F40EAB">
        <w:rPr>
          <w:b/>
          <w:bCs/>
        </w:rPr>
        <w:t>facility</w:t>
      </w:r>
    </w:p>
    <w:p w14:paraId="66A8A61F" w14:textId="360EFC9C" w:rsidR="00A24468" w:rsidRDefault="00DE2E86" w:rsidP="00BF7B05">
      <w:pPr>
        <w:pStyle w:val="ListParagraph"/>
        <w:numPr>
          <w:ilvl w:val="0"/>
          <w:numId w:val="11"/>
        </w:numPr>
      </w:pPr>
      <w:r w:rsidRPr="00F40EAB">
        <w:rPr>
          <w:b/>
          <w:bCs/>
        </w:rPr>
        <w:t xml:space="preserve">Beach Hut </w:t>
      </w:r>
      <w:r w:rsidR="00275ABC" w:rsidRPr="00F40EAB">
        <w:rPr>
          <w:b/>
          <w:bCs/>
        </w:rPr>
        <w:t>Site</w:t>
      </w:r>
      <w:r w:rsidR="00BF7B05">
        <w:t xml:space="preserve"> </w:t>
      </w:r>
      <w:r w:rsidR="00590300">
        <w:t>–</w:t>
      </w:r>
      <w:r w:rsidR="00BF7B05">
        <w:t xml:space="preserve"> </w:t>
      </w:r>
      <w:r w:rsidR="00590300">
        <w:t xml:space="preserve">Area of </w:t>
      </w:r>
      <w:r w:rsidR="00451B74">
        <w:t xml:space="preserve">promenade </w:t>
      </w:r>
      <w:r w:rsidR="00590300">
        <w:t>land</w:t>
      </w:r>
      <w:r w:rsidR="00CE50CD">
        <w:t xml:space="preserve"> </w:t>
      </w:r>
      <w:r w:rsidR="00451B74">
        <w:t>which is rented to customers to put their own beach</w:t>
      </w:r>
      <w:r w:rsidR="00310B59">
        <w:t xml:space="preserve"> hut</w:t>
      </w:r>
      <w:r w:rsidR="00451B74">
        <w:t xml:space="preserve"> on.</w:t>
      </w:r>
    </w:p>
    <w:p w14:paraId="68AF9D9E" w14:textId="18EC1C37" w:rsidR="00DE2E86" w:rsidRDefault="00DE2E86" w:rsidP="00BF7B05">
      <w:pPr>
        <w:pStyle w:val="ListParagraph"/>
        <w:numPr>
          <w:ilvl w:val="0"/>
          <w:numId w:val="11"/>
        </w:numPr>
      </w:pPr>
      <w:r w:rsidRPr="00F40EAB">
        <w:rPr>
          <w:b/>
          <w:bCs/>
        </w:rPr>
        <w:t>Cabin</w:t>
      </w:r>
      <w:r w:rsidR="00451B74">
        <w:t xml:space="preserve"> </w:t>
      </w:r>
      <w:r w:rsidR="003F078E">
        <w:t>–</w:t>
      </w:r>
      <w:r w:rsidR="00451B74">
        <w:t xml:space="preserve"> </w:t>
      </w:r>
      <w:r w:rsidR="003F078E">
        <w:t xml:space="preserve">Wooden beach cabins located at </w:t>
      </w:r>
      <w:proofErr w:type="spellStart"/>
      <w:r w:rsidR="003F078E">
        <w:t>Broadsands</w:t>
      </w:r>
      <w:proofErr w:type="spellEnd"/>
    </w:p>
    <w:p w14:paraId="7498A175" w14:textId="340F0C52" w:rsidR="00DE2E86" w:rsidRDefault="00DE2E86" w:rsidP="00BF7B05">
      <w:pPr>
        <w:pStyle w:val="ListParagraph"/>
        <w:numPr>
          <w:ilvl w:val="0"/>
          <w:numId w:val="11"/>
        </w:numPr>
      </w:pPr>
      <w:r w:rsidRPr="00F40EAB">
        <w:rPr>
          <w:b/>
          <w:bCs/>
        </w:rPr>
        <w:t>Chal</w:t>
      </w:r>
      <w:r w:rsidR="000336D9" w:rsidRPr="00F40EAB">
        <w:rPr>
          <w:b/>
          <w:bCs/>
        </w:rPr>
        <w:t>et</w:t>
      </w:r>
      <w:r w:rsidR="003F078E">
        <w:t xml:space="preserve"> </w:t>
      </w:r>
      <w:r w:rsidR="00200759">
        <w:t>–</w:t>
      </w:r>
      <w:r w:rsidR="003F078E">
        <w:t xml:space="preserve"> </w:t>
      </w:r>
      <w:r w:rsidR="00200759">
        <w:t xml:space="preserve">Concrete Beach Chalets located at </w:t>
      </w:r>
      <w:proofErr w:type="spellStart"/>
      <w:r w:rsidR="00200759">
        <w:t>Meadfoot</w:t>
      </w:r>
      <w:proofErr w:type="spellEnd"/>
      <w:r w:rsidR="00200759">
        <w:t xml:space="preserve"> and </w:t>
      </w:r>
      <w:proofErr w:type="spellStart"/>
      <w:r w:rsidR="00200759">
        <w:t>Oddicombe</w:t>
      </w:r>
      <w:proofErr w:type="spellEnd"/>
    </w:p>
    <w:p w14:paraId="66D76CFF" w14:textId="77777777" w:rsidR="00B4254C" w:rsidRDefault="00B4254C" w:rsidP="00B530D1"/>
    <w:p w14:paraId="5305C6F8" w14:textId="0216A454" w:rsidR="008312CF" w:rsidRPr="0079523E" w:rsidRDefault="008312CF" w:rsidP="00B530D1">
      <w:pPr>
        <w:rPr>
          <w:b/>
          <w:bCs/>
        </w:rPr>
      </w:pPr>
      <w:r w:rsidRPr="0079523E">
        <w:rPr>
          <w:b/>
          <w:bCs/>
        </w:rPr>
        <w:t>Facil</w:t>
      </w:r>
      <w:r w:rsidR="00887C21" w:rsidRPr="0079523E">
        <w:rPr>
          <w:b/>
          <w:bCs/>
        </w:rPr>
        <w:t>ities allocation</w:t>
      </w:r>
    </w:p>
    <w:p w14:paraId="17A936CC" w14:textId="77CDB1AF" w:rsidR="008312CF" w:rsidRDefault="007944D2" w:rsidP="00B530D1">
      <w:r>
        <w:t>Hut site</w:t>
      </w:r>
      <w:r w:rsidR="000F6004">
        <w:t>, cabin and chalet</w:t>
      </w:r>
      <w:r w:rsidRPr="007944D2">
        <w:t> facilit</w:t>
      </w:r>
      <w:r w:rsidR="000F6004">
        <w:t>ies</w:t>
      </w:r>
      <w:r w:rsidRPr="007944D2">
        <w:t xml:space="preserve"> can only be offered and allocated to the person whose name is next on the appropriate waiting list. A non-refundable registration fee is required to join a waiting list. Waiting list procedures can be found </w:t>
      </w:r>
      <w:r w:rsidR="00473BFF">
        <w:t>be</w:t>
      </w:r>
      <w:r w:rsidR="00A20C31">
        <w:t>low in this document</w:t>
      </w:r>
      <w:r w:rsidRPr="007944D2">
        <w:t>. </w:t>
      </w:r>
      <w:r w:rsidR="00B13C89">
        <w:t>Applicants can</w:t>
      </w:r>
      <w:r w:rsidR="005F5F02">
        <w:t xml:space="preserve"> be on two different </w:t>
      </w:r>
      <w:r w:rsidR="0088624F">
        <w:t xml:space="preserve">site waiting lists. </w:t>
      </w:r>
      <w:r w:rsidRPr="007944D2">
        <w:t xml:space="preserve">Under normal circumstances the applicant will only be given two offers of a facility, all subsequent offers will only be made in exceptional circumstances. Any applicants that decline two offers of a </w:t>
      </w:r>
      <w:r w:rsidR="00862A4E">
        <w:t xml:space="preserve">beach </w:t>
      </w:r>
      <w:r w:rsidRPr="007944D2">
        <w:t>facility will have their name removed from waiting lists.</w:t>
      </w:r>
      <w:r w:rsidR="00E97B9C">
        <w:t xml:space="preserve"> If a customer</w:t>
      </w:r>
      <w:r w:rsidR="0081246A">
        <w:t xml:space="preserve"> accepts a facility and </w:t>
      </w:r>
      <w:r w:rsidR="007228A7">
        <w:t>is</w:t>
      </w:r>
      <w:r w:rsidR="0081246A">
        <w:t xml:space="preserve"> on more than one waiting </w:t>
      </w:r>
      <w:r w:rsidR="00D7279C">
        <w:t>list,</w:t>
      </w:r>
      <w:r w:rsidR="0081246A">
        <w:t xml:space="preserve"> they</w:t>
      </w:r>
      <w:r w:rsidR="00D7279C">
        <w:t xml:space="preserve"> are</w:t>
      </w:r>
      <w:r w:rsidR="0081246A">
        <w:t xml:space="preserve"> permitted to remain on the other waiting list</w:t>
      </w:r>
      <w:r w:rsidR="008E3D37">
        <w:t>s and transfer to the other location when</w:t>
      </w:r>
      <w:r w:rsidR="00DE6FAD">
        <w:t xml:space="preserve"> </w:t>
      </w:r>
      <w:r w:rsidR="008E3D37">
        <w:t xml:space="preserve">they are at the </w:t>
      </w:r>
      <w:r w:rsidR="00DE6FAD">
        <w:t>t</w:t>
      </w:r>
      <w:r w:rsidR="008E3D37">
        <w:t xml:space="preserve">op of </w:t>
      </w:r>
      <w:r w:rsidR="00D7279C">
        <w:t>that</w:t>
      </w:r>
      <w:r w:rsidR="008E3D37">
        <w:t xml:space="preserve"> list should they </w:t>
      </w:r>
      <w:r w:rsidR="00DE6FAD">
        <w:t>so wish.</w:t>
      </w:r>
    </w:p>
    <w:p w14:paraId="5F63E1D1" w14:textId="1FAF003F" w:rsidR="00D017C3" w:rsidRPr="00504536" w:rsidRDefault="00D017C3" w:rsidP="00B530D1">
      <w:pPr>
        <w:rPr>
          <w:b/>
          <w:bCs/>
        </w:rPr>
      </w:pPr>
      <w:r w:rsidRPr="00504536">
        <w:rPr>
          <w:b/>
          <w:bCs/>
        </w:rPr>
        <w:t>Waiting Lists</w:t>
      </w:r>
    </w:p>
    <w:p w14:paraId="1B7C0942" w14:textId="2A338A8D" w:rsidR="00D017C3" w:rsidRDefault="00496A28" w:rsidP="00B530D1">
      <w:r>
        <w:t xml:space="preserve">When </w:t>
      </w:r>
      <w:r w:rsidR="00087240">
        <w:t xml:space="preserve">there are no vacancies </w:t>
      </w:r>
      <w:r w:rsidR="00A54E21">
        <w:t>for a</w:t>
      </w:r>
      <w:r w:rsidR="00FB3A6B">
        <w:t xml:space="preserve"> particular</w:t>
      </w:r>
      <w:r w:rsidR="00A54E21">
        <w:t xml:space="preserve"> facility </w:t>
      </w:r>
      <w:r w:rsidR="000A6A57">
        <w:t>customers can join</w:t>
      </w:r>
      <w:r w:rsidR="000B5D4E">
        <w:t xml:space="preserve"> </w:t>
      </w:r>
      <w:r w:rsidR="007F4A18">
        <w:t>a wa</w:t>
      </w:r>
      <w:r w:rsidR="00C475A5">
        <w:t>iting list</w:t>
      </w:r>
      <w:r w:rsidR="002D6B1D">
        <w:t xml:space="preserve">. Each beach location could have </w:t>
      </w:r>
      <w:proofErr w:type="gramStart"/>
      <w:r w:rsidR="002D6B1D">
        <w:t xml:space="preserve">a </w:t>
      </w:r>
      <w:r w:rsidR="00B70557">
        <w:t>number of</w:t>
      </w:r>
      <w:proofErr w:type="gramEnd"/>
      <w:r w:rsidR="00B70557">
        <w:t xml:space="preserve"> lists as facilities are divided into groups</w:t>
      </w:r>
      <w:r w:rsidR="0066678F">
        <w:t xml:space="preserve">, for </w:t>
      </w:r>
      <w:r w:rsidR="007D41F9">
        <w:t>example,</w:t>
      </w:r>
      <w:r w:rsidR="0066678F">
        <w:t xml:space="preserve"> </w:t>
      </w:r>
      <w:proofErr w:type="spellStart"/>
      <w:r w:rsidR="00A62736">
        <w:t>Broad</w:t>
      </w:r>
      <w:r w:rsidR="00123608">
        <w:t>sands</w:t>
      </w:r>
      <w:proofErr w:type="spellEnd"/>
      <w:r w:rsidR="0066678F">
        <w:t xml:space="preserve"> has both Cabin and </w:t>
      </w:r>
      <w:r w:rsidR="00D12AE0">
        <w:t>Hut site facilities and they are again divided into</w:t>
      </w:r>
      <w:r w:rsidR="00A62736">
        <w:t xml:space="preserve">, sea facing and green facing. </w:t>
      </w:r>
      <w:r w:rsidR="00A62736">
        <w:lastRenderedPageBreak/>
        <w:t xml:space="preserve">It is </w:t>
      </w:r>
      <w:r w:rsidR="007602FE">
        <w:t>permitted</w:t>
      </w:r>
      <w:r w:rsidR="0014664D">
        <w:t xml:space="preserve"> </w:t>
      </w:r>
      <w:r w:rsidR="007602FE">
        <w:t xml:space="preserve">to be on waiting lists on up to two </w:t>
      </w:r>
      <w:r w:rsidR="00471FD7">
        <w:t xml:space="preserve">of the seven </w:t>
      </w:r>
      <w:r w:rsidR="007602FE">
        <w:t>beach location</w:t>
      </w:r>
      <w:r w:rsidR="00BC0B5A">
        <w:t>s</w:t>
      </w:r>
      <w:r w:rsidR="00471FD7">
        <w:t>. A non</w:t>
      </w:r>
      <w:r w:rsidR="004B7BC1">
        <w:t>-refundable regi</w:t>
      </w:r>
      <w:r w:rsidR="006F0B8E">
        <w:t xml:space="preserve">stration fee is </w:t>
      </w:r>
      <w:r w:rsidR="00A167EB">
        <w:t>charge</w:t>
      </w:r>
      <w:r w:rsidR="00C15207">
        <w:t>d</w:t>
      </w:r>
      <w:r w:rsidR="00A167EB">
        <w:t xml:space="preserve"> to join a waiting list.</w:t>
      </w:r>
    </w:p>
    <w:p w14:paraId="1CDFA3EF" w14:textId="6B3B21CF" w:rsidR="00AD1685" w:rsidRDefault="00716477" w:rsidP="00B530D1">
      <w:r>
        <w:t>Procedure:</w:t>
      </w:r>
    </w:p>
    <w:p w14:paraId="1413CB53" w14:textId="00F1BFF8" w:rsidR="00E63416" w:rsidRPr="00E63416" w:rsidRDefault="00E63416" w:rsidP="00E63416">
      <w:pPr>
        <w:numPr>
          <w:ilvl w:val="0"/>
          <w:numId w:val="9"/>
        </w:numPr>
      </w:pPr>
      <w:r w:rsidRPr="00E63416">
        <w:t>The</w:t>
      </w:r>
      <w:r w:rsidR="004F79F2">
        <w:t>re is a</w:t>
      </w:r>
      <w:r w:rsidRPr="00E63416">
        <w:t xml:space="preserve"> waiting list registration fee is</w:t>
      </w:r>
      <w:r w:rsidR="004F79F2">
        <w:t xml:space="preserve"> </w:t>
      </w:r>
      <w:r w:rsidRPr="00E63416">
        <w:t xml:space="preserve">for </w:t>
      </w:r>
      <w:r>
        <w:t xml:space="preserve">all beach </w:t>
      </w:r>
      <w:r w:rsidR="00EC50B5">
        <w:t>facilities</w:t>
      </w:r>
      <w:r w:rsidRPr="00E63416">
        <w:t>.  On receipt of the appropriate fee, your name will be placed on the relevant list</w:t>
      </w:r>
      <w:r w:rsidR="00EC50B5">
        <w:t>(s)</w:t>
      </w:r>
      <w:r w:rsidRPr="00E63416">
        <w:t>.   </w:t>
      </w:r>
    </w:p>
    <w:p w14:paraId="566BEACB" w14:textId="77777777" w:rsidR="00E63416" w:rsidRPr="00E63416" w:rsidRDefault="00E63416" w:rsidP="00E63416">
      <w:pPr>
        <w:numPr>
          <w:ilvl w:val="0"/>
          <w:numId w:val="9"/>
        </w:numPr>
      </w:pPr>
      <w:r w:rsidRPr="00E63416">
        <w:t>The waiting list entry will be dated the same day the fee is received. </w:t>
      </w:r>
    </w:p>
    <w:p w14:paraId="051B5E11" w14:textId="77777777" w:rsidR="00E63416" w:rsidRPr="00E63416" w:rsidRDefault="00E63416" w:rsidP="00E63416">
      <w:pPr>
        <w:numPr>
          <w:ilvl w:val="0"/>
          <w:numId w:val="9"/>
        </w:numPr>
      </w:pPr>
      <w:r w:rsidRPr="00E63416">
        <w:t>The registration fee is </w:t>
      </w:r>
      <w:r w:rsidRPr="00E63416">
        <w:rPr>
          <w:b/>
          <w:bCs/>
        </w:rPr>
        <w:t>NOT REFUNDABLE OR TRANSFERABLE. </w:t>
      </w:r>
    </w:p>
    <w:p w14:paraId="05F4705F" w14:textId="77777777" w:rsidR="00E63416" w:rsidRPr="00E63416" w:rsidRDefault="00E63416" w:rsidP="00E63416">
      <w:pPr>
        <w:numPr>
          <w:ilvl w:val="0"/>
          <w:numId w:val="9"/>
        </w:numPr>
      </w:pPr>
      <w:r w:rsidRPr="00E63416">
        <w:t>Under normal circumstances the applicant will only be given two offers of a facility. A third offer will only be made in exceptional circumstances. All applicants will have their name removed from the list if they have declined two offers of a harbour facility. </w:t>
      </w:r>
    </w:p>
    <w:p w14:paraId="0D8796DA" w14:textId="77777777" w:rsidR="00E63416" w:rsidRPr="00E63416" w:rsidRDefault="00E63416" w:rsidP="00E63416">
      <w:pPr>
        <w:numPr>
          <w:ilvl w:val="0"/>
          <w:numId w:val="9"/>
        </w:numPr>
      </w:pPr>
      <w:r w:rsidRPr="00E63416">
        <w:t>When a facility is offered and accepted, it can only be allocated to the person whose name is on the waiting list.  The facility is </w:t>
      </w:r>
      <w:r w:rsidRPr="00E63416">
        <w:rPr>
          <w:b/>
          <w:bCs/>
        </w:rPr>
        <w:t>NOT TRANSFERABLE. </w:t>
      </w:r>
    </w:p>
    <w:p w14:paraId="4AE6143B" w14:textId="43B066EA" w:rsidR="00E63416" w:rsidRPr="00E63416" w:rsidRDefault="005F5EEF" w:rsidP="00E63416">
      <w:pPr>
        <w:numPr>
          <w:ilvl w:val="0"/>
          <w:numId w:val="9"/>
        </w:numPr>
      </w:pPr>
      <w:r w:rsidRPr="00E63416">
        <w:t>Unfortunately,</w:t>
      </w:r>
      <w:r w:rsidR="00E63416" w:rsidRPr="00E63416">
        <w:t xml:space="preserve"> applicants who have a disability do not have priority over other people on the waiting list. </w:t>
      </w:r>
    </w:p>
    <w:p w14:paraId="77A2FBA3" w14:textId="132DAA67" w:rsidR="00E63416" w:rsidRPr="00E63416" w:rsidRDefault="00E63416" w:rsidP="00E63416">
      <w:pPr>
        <w:numPr>
          <w:ilvl w:val="0"/>
          <w:numId w:val="9"/>
        </w:numPr>
      </w:pPr>
      <w:r w:rsidRPr="00E63416">
        <w:t xml:space="preserve">From </w:t>
      </w:r>
      <w:r w:rsidR="000A65B9" w:rsidRPr="00E63416">
        <w:t>time-to-time</w:t>
      </w:r>
      <w:r w:rsidRPr="00E63416">
        <w:t xml:space="preserve"> applicants will be asked to provide written confirmation of their wish to stay on a particular waiting list. The applicant’s details will be deleted from our records if written confirmation is </w:t>
      </w:r>
      <w:r w:rsidRPr="00E63416">
        <w:rPr>
          <w:b/>
          <w:bCs/>
        </w:rPr>
        <w:t>not</w:t>
      </w:r>
      <w:r w:rsidRPr="00E63416">
        <w:t> provided. </w:t>
      </w:r>
    </w:p>
    <w:p w14:paraId="429CA51C" w14:textId="77777777" w:rsidR="00E63416" w:rsidRPr="00E63416" w:rsidRDefault="00E63416" w:rsidP="00E63416">
      <w:pPr>
        <w:numPr>
          <w:ilvl w:val="0"/>
          <w:numId w:val="9"/>
        </w:numPr>
      </w:pPr>
      <w:r w:rsidRPr="00E63416">
        <w:t>It is the applicant’s responsibility to keep us advised of any change in the applicant’s details, especially any </w:t>
      </w:r>
      <w:r w:rsidRPr="00E63416">
        <w:rPr>
          <w:b/>
          <w:bCs/>
        </w:rPr>
        <w:t>change of address.</w:t>
      </w:r>
      <w:r w:rsidRPr="00E63416">
        <w:t> </w:t>
      </w:r>
    </w:p>
    <w:p w14:paraId="0E76F79F" w14:textId="6B1E564D" w:rsidR="00E63416" w:rsidRPr="00E63416" w:rsidRDefault="00E63416" w:rsidP="00E63416">
      <w:pPr>
        <w:numPr>
          <w:ilvl w:val="0"/>
          <w:numId w:val="9"/>
        </w:numPr>
      </w:pPr>
      <w:r w:rsidRPr="00E63416">
        <w:t>The terms and conditions of use of any facility are shown on the reverse side of any invoice/facility form agreement and are also found within </w:t>
      </w:r>
      <w:r w:rsidR="006F7CD8">
        <w:t xml:space="preserve">‘beaches’ section of </w:t>
      </w:r>
      <w:r w:rsidRPr="00E63416">
        <w:t xml:space="preserve">the Tor Bay Harbour </w:t>
      </w:r>
      <w:r w:rsidR="00984156">
        <w:t>website</w:t>
      </w:r>
      <w:r w:rsidR="006F7CD8">
        <w:t>.</w:t>
      </w:r>
    </w:p>
    <w:p w14:paraId="05063714" w14:textId="0E2AE63C" w:rsidR="00E63416" w:rsidRPr="00E63416" w:rsidRDefault="00E63416" w:rsidP="00E63416">
      <w:pPr>
        <w:numPr>
          <w:ilvl w:val="0"/>
          <w:numId w:val="9"/>
        </w:numPr>
      </w:pPr>
      <w:r w:rsidRPr="00E63416">
        <w:t xml:space="preserve">Partnerships </w:t>
      </w:r>
      <w:r w:rsidR="00D10D4C">
        <w:t>(joint ownership</w:t>
      </w:r>
      <w:r w:rsidR="00C76933">
        <w:t xml:space="preserve">/usage) </w:t>
      </w:r>
      <w:r w:rsidRPr="00E63416">
        <w:t>must have been registered with the Harbour Authority when the facility was first allocated.  Any subsequent changes of ownership or partnership buy out </w:t>
      </w:r>
      <w:r w:rsidRPr="00E63416">
        <w:rPr>
          <w:b/>
          <w:bCs/>
        </w:rPr>
        <w:t>will not be recognised</w:t>
      </w:r>
      <w:r w:rsidRPr="00E63416">
        <w:t> or count towards facility allocation. The Harbour Authority will not recognise shared ownership beyond one third</w:t>
      </w:r>
      <w:r w:rsidR="000A65B9">
        <w:t xml:space="preserve"> party</w:t>
      </w:r>
      <w:r w:rsidRPr="00E63416">
        <w:t xml:space="preserve">. </w:t>
      </w:r>
      <w:r w:rsidR="00D10D4C" w:rsidRPr="00E63416">
        <w:t>i.e.,</w:t>
      </w:r>
      <w:r w:rsidRPr="00E63416">
        <w:t xml:space="preserve"> a maximum of </w:t>
      </w:r>
      <w:r w:rsidR="003F236A">
        <w:t>two</w:t>
      </w:r>
      <w:r w:rsidRPr="00E63416">
        <w:t xml:space="preserve"> partners inclusive of the applicant. All partners must be over the age of 18</w:t>
      </w:r>
      <w:r w:rsidR="006F7CD8">
        <w:t>.</w:t>
      </w:r>
    </w:p>
    <w:p w14:paraId="568CFA02" w14:textId="77777777" w:rsidR="00716477" w:rsidRDefault="00716477" w:rsidP="00B530D1"/>
    <w:p w14:paraId="2CF5A698" w14:textId="43A05D69" w:rsidR="00D017C3" w:rsidRPr="0079523E" w:rsidRDefault="00D017C3" w:rsidP="00B530D1">
      <w:pPr>
        <w:rPr>
          <w:b/>
          <w:bCs/>
        </w:rPr>
      </w:pPr>
      <w:r w:rsidRPr="0079523E">
        <w:rPr>
          <w:b/>
          <w:bCs/>
        </w:rPr>
        <w:t>Transfers</w:t>
      </w:r>
    </w:p>
    <w:p w14:paraId="7A2C6FFD" w14:textId="5B0B7A0D" w:rsidR="00D017C3" w:rsidRDefault="0079523E" w:rsidP="00B530D1">
      <w:r w:rsidRPr="0079523E">
        <w:t xml:space="preserve">Hut site, cabin and chalet facilities </w:t>
      </w:r>
      <w:r w:rsidR="001F2444" w:rsidRPr="0079523E">
        <w:t>can</w:t>
      </w:r>
      <w:r w:rsidR="001F2444">
        <w:t>not</w:t>
      </w:r>
      <w:r>
        <w:t xml:space="preserve"> be transferred to any</w:t>
      </w:r>
      <w:r w:rsidR="001F2444">
        <w:t xml:space="preserve"> other person</w:t>
      </w:r>
      <w:r w:rsidR="001A5F21">
        <w:t xml:space="preserve">, and for the </w:t>
      </w:r>
      <w:r w:rsidR="00872BED">
        <w:t>avoidance</w:t>
      </w:r>
      <w:r w:rsidR="001A5F21">
        <w:t xml:space="preserve"> of doubt this include</w:t>
      </w:r>
      <w:r w:rsidR="00E92308">
        <w:t>s</w:t>
      </w:r>
      <w:r w:rsidR="001A5F21">
        <w:t xml:space="preserve"> </w:t>
      </w:r>
      <w:r w:rsidR="00405D8E">
        <w:t xml:space="preserve">children, sibling or any other relative unless </w:t>
      </w:r>
      <w:r w:rsidR="00E16AA9">
        <w:t xml:space="preserve">that person has reached the top of the </w:t>
      </w:r>
      <w:r w:rsidR="00A83D6F">
        <w:t>appropriate waiting list and the current customer</w:t>
      </w:r>
      <w:r w:rsidR="00872BED">
        <w:t xml:space="preserve"> relinquishes the facility</w:t>
      </w:r>
      <w:r w:rsidR="00F7039B">
        <w:t xml:space="preserve">. </w:t>
      </w:r>
      <w:r w:rsidR="00F83EBD">
        <w:t xml:space="preserve">In the </w:t>
      </w:r>
      <w:r w:rsidR="00084B5A">
        <w:t>event</w:t>
      </w:r>
      <w:r w:rsidR="00F83EBD">
        <w:t xml:space="preserve"> of a </w:t>
      </w:r>
      <w:r w:rsidR="00393520">
        <w:t>customer’s</w:t>
      </w:r>
      <w:r w:rsidR="00D72E8D">
        <w:t xml:space="preserve"> d</w:t>
      </w:r>
      <w:r w:rsidR="00393520">
        <w:t>eath</w:t>
      </w:r>
      <w:r w:rsidR="00AB5078">
        <w:t xml:space="preserve"> the facility will </w:t>
      </w:r>
      <w:r w:rsidR="004C2199">
        <w:t xml:space="preserve">be made available </w:t>
      </w:r>
      <w:r w:rsidR="00393520">
        <w:t>on</w:t>
      </w:r>
      <w:r w:rsidR="004C2199">
        <w:t xml:space="preserve"> the </w:t>
      </w:r>
      <w:r w:rsidR="00E92A7A">
        <w:t xml:space="preserve">appropriate waiting list. </w:t>
      </w:r>
      <w:r w:rsidR="00F7039B">
        <w:t>Cust</w:t>
      </w:r>
      <w:r w:rsidR="0076316F">
        <w:t>omer</w:t>
      </w:r>
      <w:r w:rsidR="00E462E3">
        <w:t>s</w:t>
      </w:r>
      <w:r w:rsidR="0076316F">
        <w:t xml:space="preserve"> are permitted</w:t>
      </w:r>
      <w:r w:rsidR="00EF2996">
        <w:t>, by mutual agreement</w:t>
      </w:r>
      <w:r w:rsidR="00784636">
        <w:t>,</w:t>
      </w:r>
      <w:r w:rsidR="0076316F">
        <w:t xml:space="preserve"> to exchange</w:t>
      </w:r>
      <w:r w:rsidR="00784636">
        <w:t xml:space="preserve"> their</w:t>
      </w:r>
      <w:r w:rsidR="0076316F">
        <w:t xml:space="preserve"> </w:t>
      </w:r>
      <w:r w:rsidR="00EF2996">
        <w:t>facilities</w:t>
      </w:r>
      <w:r w:rsidR="0076316F">
        <w:t xml:space="preserve"> with other existing cust</w:t>
      </w:r>
      <w:r w:rsidR="00464AF1">
        <w:t>omers</w:t>
      </w:r>
      <w:r w:rsidR="00446A64">
        <w:t xml:space="preserve">. In these circumstances the customers would both be </w:t>
      </w:r>
      <w:r w:rsidR="009B4730">
        <w:t>required</w:t>
      </w:r>
      <w:r w:rsidR="00446A64">
        <w:t xml:space="preserve"> to </w:t>
      </w:r>
      <w:r w:rsidR="009B4730">
        <w:t>pay</w:t>
      </w:r>
      <w:r w:rsidR="00446A64">
        <w:t xml:space="preserve"> </w:t>
      </w:r>
      <w:r w:rsidR="004326A8">
        <w:t>an administration fee and the transfer would be effective</w:t>
      </w:r>
      <w:r w:rsidR="009B4730">
        <w:t xml:space="preserve"> from the </w:t>
      </w:r>
      <w:r w:rsidR="00EA0A05">
        <w:t>beginning</w:t>
      </w:r>
      <w:r w:rsidR="00D47E59">
        <w:t xml:space="preserve"> of the next season (starting April 1</w:t>
      </w:r>
      <w:r w:rsidR="00D47E59" w:rsidRPr="00D47E59">
        <w:rPr>
          <w:vertAlign w:val="superscript"/>
        </w:rPr>
        <w:t>st</w:t>
      </w:r>
      <w:r w:rsidR="00D47E59">
        <w:t>)</w:t>
      </w:r>
      <w:r w:rsidR="00BE790E">
        <w:t>. Both hut owners would also need to sign an agreement</w:t>
      </w:r>
      <w:r w:rsidR="00E951E3">
        <w:t xml:space="preserve"> to renew the facili</w:t>
      </w:r>
      <w:r w:rsidR="003B5ECB">
        <w:t>ty the following year</w:t>
      </w:r>
      <w:r w:rsidR="00BE647D">
        <w:t>.</w:t>
      </w:r>
    </w:p>
    <w:p w14:paraId="173F11FE" w14:textId="3D427F2A" w:rsidR="00D017C3" w:rsidRPr="0014632C" w:rsidRDefault="0014632C" w:rsidP="00B530D1">
      <w:pPr>
        <w:rPr>
          <w:b/>
          <w:bCs/>
        </w:rPr>
      </w:pPr>
      <w:r w:rsidRPr="0014632C">
        <w:rPr>
          <w:b/>
          <w:bCs/>
        </w:rPr>
        <w:t>Mover’s</w:t>
      </w:r>
      <w:r w:rsidR="00A57F3E" w:rsidRPr="0014632C">
        <w:rPr>
          <w:b/>
          <w:bCs/>
        </w:rPr>
        <w:t xml:space="preserve"> list</w:t>
      </w:r>
    </w:p>
    <w:p w14:paraId="3BA5637B" w14:textId="7D8F81CE" w:rsidR="0014632C" w:rsidRDefault="008B1FA3" w:rsidP="00B530D1">
      <w:r>
        <w:t xml:space="preserve">Existing </w:t>
      </w:r>
      <w:r w:rsidR="00E744E0">
        <w:t xml:space="preserve">customers can join a ‘movers’ list </w:t>
      </w:r>
      <w:r w:rsidR="00EA791D">
        <w:t>if they would like to move to another</w:t>
      </w:r>
      <w:r w:rsidR="0014632C">
        <w:t xml:space="preserve"> </w:t>
      </w:r>
      <w:r w:rsidR="004E30C5">
        <w:t>place within the same region</w:t>
      </w:r>
      <w:r w:rsidR="00DA5FD5">
        <w:t xml:space="preserve">. For </w:t>
      </w:r>
      <w:r w:rsidR="00E931AE">
        <w:t>example,</w:t>
      </w:r>
      <w:r w:rsidR="00DA5FD5">
        <w:t xml:space="preserve"> </w:t>
      </w:r>
      <w:r w:rsidR="00E931AE">
        <w:t xml:space="preserve">if </w:t>
      </w:r>
      <w:r w:rsidR="00CD2121">
        <w:t xml:space="preserve">you have </w:t>
      </w:r>
      <w:r w:rsidR="00E931AE">
        <w:t xml:space="preserve">a site in the </w:t>
      </w:r>
      <w:proofErr w:type="spellStart"/>
      <w:r w:rsidR="004070BB">
        <w:t>Broadsands</w:t>
      </w:r>
      <w:proofErr w:type="spellEnd"/>
      <w:r w:rsidR="004070BB">
        <w:t xml:space="preserve"> ‘green facing’ region</w:t>
      </w:r>
      <w:r w:rsidR="007B17A4">
        <w:t xml:space="preserve"> you </w:t>
      </w:r>
      <w:r w:rsidR="004D2EDF">
        <w:t xml:space="preserve">can go on </w:t>
      </w:r>
      <w:r w:rsidR="00191129">
        <w:t>a list to move to a different spot within the ‘green facing</w:t>
      </w:r>
      <w:r w:rsidR="004A2FA4">
        <w:t>’ region, not the ‘sea facing’ region.</w:t>
      </w:r>
      <w:r w:rsidR="004B4824">
        <w:t xml:space="preserve"> </w:t>
      </w:r>
      <w:r w:rsidR="004B4824">
        <w:lastRenderedPageBreak/>
        <w:t>When a space becomes available</w:t>
      </w:r>
      <w:r w:rsidR="001D6F2F">
        <w:t>,</w:t>
      </w:r>
      <w:r w:rsidR="00A61954">
        <w:t xml:space="preserve"> </w:t>
      </w:r>
      <w:r w:rsidR="001D6F2F">
        <w:t>customers</w:t>
      </w:r>
      <w:r w:rsidR="00A61954">
        <w:t xml:space="preserve"> on the movers list </w:t>
      </w:r>
      <w:r w:rsidR="004D5BDC">
        <w:t xml:space="preserve">in that region will be offered the opportunity to move </w:t>
      </w:r>
      <w:r w:rsidR="00524A0D">
        <w:t xml:space="preserve">to that site </w:t>
      </w:r>
      <w:r w:rsidR="004D5BDC">
        <w:t>before it is offered to the</w:t>
      </w:r>
      <w:r w:rsidR="002F031C">
        <w:t xml:space="preserve"> next person on the waiting list.</w:t>
      </w:r>
    </w:p>
    <w:p w14:paraId="6E7505B8" w14:textId="0573A87C" w:rsidR="00D017C3" w:rsidRPr="00357626" w:rsidRDefault="00D017C3" w:rsidP="00B530D1">
      <w:pPr>
        <w:rPr>
          <w:b/>
          <w:bCs/>
        </w:rPr>
      </w:pPr>
      <w:r w:rsidRPr="00357626">
        <w:rPr>
          <w:b/>
          <w:bCs/>
        </w:rPr>
        <w:t>Use of areas in front</w:t>
      </w:r>
      <w:r w:rsidR="004809AA" w:rsidRPr="00357626">
        <w:rPr>
          <w:b/>
          <w:bCs/>
        </w:rPr>
        <w:t xml:space="preserve"> of</w:t>
      </w:r>
      <w:r w:rsidRPr="00357626">
        <w:rPr>
          <w:b/>
          <w:bCs/>
        </w:rPr>
        <w:t xml:space="preserve"> and next to hut</w:t>
      </w:r>
      <w:r w:rsidR="00357626">
        <w:rPr>
          <w:b/>
          <w:bCs/>
        </w:rPr>
        <w:t>s</w:t>
      </w:r>
      <w:r w:rsidRPr="00357626">
        <w:rPr>
          <w:b/>
          <w:bCs/>
        </w:rPr>
        <w:t xml:space="preserve"> &amp; chalets</w:t>
      </w:r>
    </w:p>
    <w:p w14:paraId="18C91B7E" w14:textId="17C8A364" w:rsidR="00D017C3" w:rsidRDefault="00204B76" w:rsidP="00B530D1">
      <w:r>
        <w:t>Rent</w:t>
      </w:r>
      <w:r w:rsidR="00785CF4">
        <w:t xml:space="preserve">ing of </w:t>
      </w:r>
      <w:r w:rsidR="008B6724">
        <w:t>a hut site</w:t>
      </w:r>
      <w:r w:rsidR="00C04E1B">
        <w:t xml:space="preserve"> does no</w:t>
      </w:r>
      <w:r w:rsidR="00357626">
        <w:t>t</w:t>
      </w:r>
      <w:r w:rsidR="00C04E1B">
        <w:t xml:space="preserve"> include the right of use of any other space on council land</w:t>
      </w:r>
      <w:r w:rsidR="00F51FE2">
        <w:t xml:space="preserve">, </w:t>
      </w:r>
      <w:r w:rsidR="0073604C">
        <w:t>although</w:t>
      </w:r>
      <w:r w:rsidR="00F51FE2">
        <w:t xml:space="preserve"> it is </w:t>
      </w:r>
      <w:r w:rsidR="00D25757">
        <w:t xml:space="preserve">reasonably </w:t>
      </w:r>
      <w:r w:rsidR="00B2539C">
        <w:t>accepted</w:t>
      </w:r>
      <w:r w:rsidR="00D25757">
        <w:t xml:space="preserve"> that the facility holders can occ</w:t>
      </w:r>
      <w:r w:rsidR="00BC24A2">
        <w:t>upy the a</w:t>
      </w:r>
      <w:r w:rsidR="00EA0A05">
        <w:t>re</w:t>
      </w:r>
      <w:r w:rsidR="00BC24A2">
        <w:t>a in front of their huts with items such a</w:t>
      </w:r>
      <w:r w:rsidR="00EA0A05">
        <w:t>s</w:t>
      </w:r>
      <w:r w:rsidR="00BC24A2">
        <w:t xml:space="preserve"> </w:t>
      </w:r>
      <w:r w:rsidR="00B2539C">
        <w:t xml:space="preserve">tables and chairs whilst using the facility. </w:t>
      </w:r>
      <w:r w:rsidR="004809AA">
        <w:t>However,</w:t>
      </w:r>
      <w:r w:rsidR="0073604C">
        <w:t xml:space="preserve"> facility owners should </w:t>
      </w:r>
      <w:r w:rsidR="006D4A53">
        <w:t xml:space="preserve">not block or make it difficult for people to </w:t>
      </w:r>
      <w:r w:rsidR="00E024E8">
        <w:t xml:space="preserve">pass any part of the public </w:t>
      </w:r>
      <w:r w:rsidR="00693376">
        <w:t>promenades and</w:t>
      </w:r>
      <w:r w:rsidR="004809AA">
        <w:t xml:space="preserve"> </w:t>
      </w:r>
      <w:r w:rsidR="00867E54">
        <w:t>m</w:t>
      </w:r>
      <w:r w:rsidR="00EA0A05">
        <w:t>u</w:t>
      </w:r>
      <w:r w:rsidR="00867E54">
        <w:t xml:space="preserve">st be mindful of </w:t>
      </w:r>
      <w:r w:rsidR="00357626">
        <w:t>neighbouring</w:t>
      </w:r>
      <w:r w:rsidR="00867E54">
        <w:t xml:space="preserve"> customers giving them </w:t>
      </w:r>
      <w:r w:rsidR="00F43A91">
        <w:t>space to be in front of their facility. Any</w:t>
      </w:r>
      <w:r w:rsidR="00661858">
        <w:t xml:space="preserve"> disputes will be dealt with by the Harbour Authori</w:t>
      </w:r>
      <w:r w:rsidR="00357626">
        <w:t>ty and could lead to withdrawal of a facility.</w:t>
      </w:r>
    </w:p>
    <w:p w14:paraId="3A999061" w14:textId="7F443CB7" w:rsidR="00D017C3" w:rsidRPr="00D84F53" w:rsidRDefault="00D017C3" w:rsidP="00B530D1">
      <w:pPr>
        <w:rPr>
          <w:b/>
          <w:bCs/>
        </w:rPr>
      </w:pPr>
      <w:r w:rsidRPr="00D84F53">
        <w:rPr>
          <w:b/>
          <w:bCs/>
        </w:rPr>
        <w:t>Ant</w:t>
      </w:r>
      <w:r w:rsidR="00370308" w:rsidRPr="00D84F53">
        <w:rPr>
          <w:b/>
          <w:bCs/>
        </w:rPr>
        <w:t>i</w:t>
      </w:r>
      <w:r w:rsidRPr="00D84F53">
        <w:rPr>
          <w:b/>
          <w:bCs/>
        </w:rPr>
        <w:t>-social behaviour</w:t>
      </w:r>
    </w:p>
    <w:p w14:paraId="7A11B71B" w14:textId="6D7BA9EE" w:rsidR="00D017C3" w:rsidRDefault="00D84F53" w:rsidP="00B530D1">
      <w:r w:rsidRPr="00D84F53">
        <w:rPr>
          <w:lang w:val="en-US"/>
        </w:rPr>
        <w:t xml:space="preserve">The hirer/owner shall be responsible for the good behavior of all persons using the facility. The hirer/owner must be considerate of </w:t>
      </w:r>
      <w:proofErr w:type="spellStart"/>
      <w:r w:rsidRPr="00D84F53">
        <w:rPr>
          <w:lang w:val="en-US"/>
        </w:rPr>
        <w:t>neighbouring</w:t>
      </w:r>
      <w:proofErr w:type="spellEnd"/>
      <w:r w:rsidRPr="00D84F53">
        <w:rPr>
          <w:lang w:val="en-US"/>
        </w:rPr>
        <w:t xml:space="preserve"> tenants regarding space outside the facility, </w:t>
      </w:r>
      <w:proofErr w:type="gramStart"/>
      <w:r w:rsidRPr="00D84F53">
        <w:rPr>
          <w:lang w:val="en-US"/>
        </w:rPr>
        <w:t>music</w:t>
      </w:r>
      <w:proofErr w:type="gramEnd"/>
      <w:r w:rsidRPr="00D84F53">
        <w:rPr>
          <w:lang w:val="en-US"/>
        </w:rPr>
        <w:t xml:space="preserve"> and noise</w:t>
      </w:r>
      <w:r w:rsidR="00F53C56">
        <w:rPr>
          <w:lang w:val="en-US"/>
        </w:rPr>
        <w:t>, and</w:t>
      </w:r>
      <w:r w:rsidRPr="00D84F53">
        <w:rPr>
          <w:lang w:val="en-US"/>
        </w:rPr>
        <w:t xml:space="preserve"> shall not cause or permit a nuisance in or around the facility which shall cause annoyance, inconvenience, </w:t>
      </w:r>
      <w:r w:rsidR="00F94763" w:rsidRPr="00D84F53">
        <w:rPr>
          <w:lang w:val="en-US"/>
        </w:rPr>
        <w:t xml:space="preserve">or </w:t>
      </w:r>
      <w:r w:rsidR="00F94763">
        <w:rPr>
          <w:lang w:val="en-US"/>
        </w:rPr>
        <w:t>a</w:t>
      </w:r>
      <w:r w:rsidR="00A7323B">
        <w:rPr>
          <w:lang w:val="en-US"/>
        </w:rPr>
        <w:t xml:space="preserve"> </w:t>
      </w:r>
      <w:r w:rsidRPr="00D84F53">
        <w:rPr>
          <w:lang w:val="en-US"/>
        </w:rPr>
        <w:t xml:space="preserve">disturbance to occupiers of </w:t>
      </w:r>
      <w:proofErr w:type="spellStart"/>
      <w:r w:rsidRPr="00D84F53">
        <w:rPr>
          <w:lang w:val="en-US"/>
        </w:rPr>
        <w:t>neighbouring</w:t>
      </w:r>
      <w:proofErr w:type="spellEnd"/>
      <w:r w:rsidRPr="00D84F53">
        <w:rPr>
          <w:lang w:val="en-US"/>
        </w:rPr>
        <w:t xml:space="preserve"> facilities or to the public.</w:t>
      </w:r>
      <w:r w:rsidR="00A7323B">
        <w:rPr>
          <w:lang w:val="en-US"/>
        </w:rPr>
        <w:t xml:space="preserve"> Any complaints will</w:t>
      </w:r>
      <w:r w:rsidR="007765EF">
        <w:rPr>
          <w:lang w:val="en-US"/>
        </w:rPr>
        <w:t xml:space="preserve"> be investigated </w:t>
      </w:r>
      <w:r w:rsidR="00916DBF">
        <w:rPr>
          <w:lang w:val="en-US"/>
        </w:rPr>
        <w:t xml:space="preserve">by the Harbour Authority </w:t>
      </w:r>
      <w:r w:rsidR="00485A1C">
        <w:rPr>
          <w:lang w:val="en-US"/>
        </w:rPr>
        <w:t xml:space="preserve">and </w:t>
      </w:r>
      <w:r w:rsidR="00F94763">
        <w:rPr>
          <w:lang w:val="en-US"/>
        </w:rPr>
        <w:t xml:space="preserve">if found to be </w:t>
      </w:r>
      <w:r w:rsidR="00BA3EE2">
        <w:rPr>
          <w:lang w:val="en-US"/>
        </w:rPr>
        <w:t xml:space="preserve">substantiated could lead to withdrawal of </w:t>
      </w:r>
      <w:r w:rsidR="00F53C56">
        <w:rPr>
          <w:lang w:val="en-US"/>
        </w:rPr>
        <w:t>the</w:t>
      </w:r>
      <w:r w:rsidR="00BA3EE2">
        <w:rPr>
          <w:lang w:val="en-US"/>
        </w:rPr>
        <w:t xml:space="preserve"> facility.</w:t>
      </w:r>
    </w:p>
    <w:p w14:paraId="48FFFC28" w14:textId="45E44090" w:rsidR="00D017C3" w:rsidRPr="00AE353D" w:rsidRDefault="00D017C3" w:rsidP="00B530D1">
      <w:pPr>
        <w:rPr>
          <w:b/>
          <w:bCs/>
        </w:rPr>
      </w:pPr>
      <w:r w:rsidRPr="00AE353D">
        <w:rPr>
          <w:b/>
          <w:bCs/>
        </w:rPr>
        <w:t>Vehicles on council land (promenades and greens)</w:t>
      </w:r>
    </w:p>
    <w:p w14:paraId="608DAEE6" w14:textId="340FCF2F" w:rsidR="00D017C3" w:rsidRDefault="00006CE2" w:rsidP="00B530D1">
      <w:r>
        <w:t>Vehicles</w:t>
      </w:r>
      <w:r w:rsidR="00415F76">
        <w:t xml:space="preserve"> </w:t>
      </w:r>
      <w:r w:rsidR="00531F99">
        <w:t>are not permitted on the green</w:t>
      </w:r>
      <w:r w:rsidR="00B14D92">
        <w:t xml:space="preserve">s, </w:t>
      </w:r>
      <w:r w:rsidR="00F53C56">
        <w:t>promenades,</w:t>
      </w:r>
      <w:r w:rsidR="00B14D92">
        <w:t xml:space="preserve"> or access roads without prior permission</w:t>
      </w:r>
      <w:r w:rsidR="000E26C8">
        <w:t xml:space="preserve"> from the Harbour Authority (Council). </w:t>
      </w:r>
      <w:r w:rsidR="00D13156">
        <w:t>However,</w:t>
      </w:r>
      <w:r w:rsidR="000E26C8">
        <w:t xml:space="preserve"> </w:t>
      </w:r>
      <w:r w:rsidR="00D13156">
        <w:t>beach hut site customers</w:t>
      </w:r>
      <w:r w:rsidR="006730FD">
        <w:t xml:space="preserve"> are permitted to take a vehicle on site </w:t>
      </w:r>
      <w:r w:rsidR="00CE3656" w:rsidRPr="00CE3656">
        <w:rPr>
          <w:lang w:val="en-US"/>
        </w:rPr>
        <w:t>for the delivery and removal of huts and or contents. All huts must be in place before the end of April, and not removed before 1</w:t>
      </w:r>
      <w:r w:rsidR="00CE3656" w:rsidRPr="00CE3656">
        <w:rPr>
          <w:vertAlign w:val="superscript"/>
          <w:lang w:val="en-US"/>
        </w:rPr>
        <w:t>st</w:t>
      </w:r>
      <w:r w:rsidR="00CE3656" w:rsidRPr="00CE3656">
        <w:rPr>
          <w:lang w:val="en-US"/>
        </w:rPr>
        <w:t xml:space="preserve"> of October. </w:t>
      </w:r>
      <w:r w:rsidR="007617A8">
        <w:rPr>
          <w:lang w:val="en-US"/>
        </w:rPr>
        <w:t>Vehicle a</w:t>
      </w:r>
      <w:r w:rsidR="00CE3656" w:rsidRPr="00CE3656">
        <w:rPr>
          <w:lang w:val="en-US"/>
        </w:rPr>
        <w:t>ccess is permitted between 18</w:t>
      </w:r>
      <w:r w:rsidR="00CE3656" w:rsidRPr="00CE3656">
        <w:rPr>
          <w:vertAlign w:val="superscript"/>
          <w:lang w:val="en-US"/>
        </w:rPr>
        <w:t>th</w:t>
      </w:r>
      <w:r w:rsidR="00CE3656" w:rsidRPr="00CE3656">
        <w:rPr>
          <w:lang w:val="en-US"/>
        </w:rPr>
        <w:t xml:space="preserve"> March and 14</w:t>
      </w:r>
      <w:r w:rsidR="00CE3656" w:rsidRPr="00CE3656">
        <w:rPr>
          <w:vertAlign w:val="superscript"/>
          <w:lang w:val="en-US"/>
        </w:rPr>
        <w:t>th</w:t>
      </w:r>
      <w:r w:rsidR="00CE3656" w:rsidRPr="00CE3656">
        <w:rPr>
          <w:lang w:val="en-US"/>
        </w:rPr>
        <w:t xml:space="preserve"> April</w:t>
      </w:r>
      <w:r w:rsidR="00F53C56">
        <w:rPr>
          <w:lang w:val="en-US"/>
        </w:rPr>
        <w:t>,</w:t>
      </w:r>
      <w:r w:rsidR="00CE3656" w:rsidRPr="00CE3656">
        <w:rPr>
          <w:lang w:val="en-US"/>
        </w:rPr>
        <w:t xml:space="preserve"> and at end of the summer season between 16</w:t>
      </w:r>
      <w:r w:rsidR="00CE3656" w:rsidRPr="00CE3656">
        <w:rPr>
          <w:vertAlign w:val="superscript"/>
          <w:lang w:val="en-US"/>
        </w:rPr>
        <w:t>th</w:t>
      </w:r>
      <w:r w:rsidR="00CE3656" w:rsidRPr="00CE3656">
        <w:rPr>
          <w:lang w:val="en-US"/>
        </w:rPr>
        <w:t xml:space="preserve"> September and 14</w:t>
      </w:r>
      <w:r w:rsidR="00CE3656" w:rsidRPr="00CE3656">
        <w:rPr>
          <w:vertAlign w:val="superscript"/>
          <w:lang w:val="en-US"/>
        </w:rPr>
        <w:t>th</w:t>
      </w:r>
      <w:r w:rsidR="00CE3656" w:rsidRPr="00CE3656">
        <w:rPr>
          <w:lang w:val="en-US"/>
        </w:rPr>
        <w:t xml:space="preserve"> October, however if a bank holiday should fall between these periods, the gates will be closed and locked </w:t>
      </w:r>
      <w:proofErr w:type="gramStart"/>
      <w:r w:rsidR="00CE3656" w:rsidRPr="00CE3656">
        <w:rPr>
          <w:lang w:val="en-US"/>
        </w:rPr>
        <w:t>for</w:t>
      </w:r>
      <w:proofErr w:type="gramEnd"/>
      <w:r w:rsidR="00CE3656" w:rsidRPr="00CE3656">
        <w:rPr>
          <w:lang w:val="en-US"/>
        </w:rPr>
        <w:t xml:space="preserve"> the bank holiday. Vehicle access outside of these permitted dates must be preauthorized by the Harbour Authority.</w:t>
      </w:r>
      <w:r w:rsidR="00A86E15">
        <w:rPr>
          <w:lang w:val="en-US"/>
        </w:rPr>
        <w:t xml:space="preserve"> </w:t>
      </w:r>
      <w:r w:rsidR="00770EA9">
        <w:rPr>
          <w:lang w:val="en-US"/>
        </w:rPr>
        <w:t>Vehicles can only be on site for drop off and pick up</w:t>
      </w:r>
      <w:r w:rsidR="00F71D17">
        <w:rPr>
          <w:lang w:val="en-US"/>
        </w:rPr>
        <w:t>, no parking is permitted.</w:t>
      </w:r>
      <w:r w:rsidR="00415136">
        <w:rPr>
          <w:lang w:val="en-US"/>
        </w:rPr>
        <w:t xml:space="preserve"> Anyone violating </w:t>
      </w:r>
      <w:r w:rsidR="008252B8">
        <w:rPr>
          <w:lang w:val="en-US"/>
        </w:rPr>
        <w:t>this rule will risk the withdrawal of their facility</w:t>
      </w:r>
      <w:r w:rsidR="00DF48B7">
        <w:rPr>
          <w:lang w:val="en-US"/>
        </w:rPr>
        <w:t>.</w:t>
      </w:r>
    </w:p>
    <w:p w14:paraId="3F7E3767" w14:textId="6246E5D8" w:rsidR="00D017C3" w:rsidRPr="007B17DF" w:rsidRDefault="00D017C3" w:rsidP="00B530D1">
      <w:pPr>
        <w:rPr>
          <w:b/>
          <w:bCs/>
        </w:rPr>
      </w:pPr>
      <w:r w:rsidRPr="007B17DF">
        <w:rPr>
          <w:b/>
          <w:bCs/>
        </w:rPr>
        <w:t>Use</w:t>
      </w:r>
      <w:r w:rsidR="00945DA3" w:rsidRPr="007B17DF">
        <w:rPr>
          <w:b/>
          <w:bCs/>
        </w:rPr>
        <w:t xml:space="preserve"> of contractors</w:t>
      </w:r>
    </w:p>
    <w:p w14:paraId="07DC981C" w14:textId="715AF777" w:rsidR="00945DA3" w:rsidRDefault="009B0887" w:rsidP="00B530D1">
      <w:r>
        <w:t>Any contractors</w:t>
      </w:r>
      <w:r w:rsidR="00E1542F">
        <w:t xml:space="preserve"> working on council land need</w:t>
      </w:r>
      <w:r w:rsidR="00F53C56">
        <w:t>s</w:t>
      </w:r>
      <w:r w:rsidR="00E1542F">
        <w:t xml:space="preserve"> to be approved </w:t>
      </w:r>
      <w:r w:rsidR="00F2175B">
        <w:t xml:space="preserve">and authorised </w:t>
      </w:r>
      <w:r w:rsidR="00E1542F">
        <w:t>by the council</w:t>
      </w:r>
      <w:r w:rsidR="00F2175B">
        <w:t xml:space="preserve"> prior to them enter</w:t>
      </w:r>
      <w:r w:rsidR="00751F24">
        <w:t xml:space="preserve">ing the site. This includes any commercial </w:t>
      </w:r>
      <w:r w:rsidR="00BE0134">
        <w:t>operator</w:t>
      </w:r>
      <w:r w:rsidR="00751F24">
        <w:t xml:space="preserve"> </w:t>
      </w:r>
      <w:r w:rsidR="00EF3887">
        <w:t xml:space="preserve">either doing work on a beach hut or removing a hut for storage. All contractors would need to </w:t>
      </w:r>
      <w:r w:rsidR="003D6453">
        <w:t>meet the health and safety requirements by the council and purchase a ‘contractors p</w:t>
      </w:r>
      <w:r w:rsidR="00BE0134">
        <w:t>ermit</w:t>
      </w:r>
      <w:r w:rsidR="007B17DF">
        <w:t>’</w:t>
      </w:r>
      <w:r w:rsidR="00BE0134">
        <w:t xml:space="preserve"> from the Harbour Authority</w:t>
      </w:r>
      <w:r w:rsidR="0047640D">
        <w:t>.</w:t>
      </w:r>
    </w:p>
    <w:p w14:paraId="235147DF" w14:textId="06DF2588" w:rsidR="00945DA3" w:rsidRPr="008E2003" w:rsidRDefault="00945DA3" w:rsidP="00B530D1">
      <w:pPr>
        <w:rPr>
          <w:b/>
          <w:bCs/>
        </w:rPr>
      </w:pPr>
      <w:r w:rsidRPr="008E2003">
        <w:rPr>
          <w:b/>
          <w:bCs/>
        </w:rPr>
        <w:t>Seaweed raking</w:t>
      </w:r>
      <w:r w:rsidR="00F946F9" w:rsidRPr="008E2003">
        <w:rPr>
          <w:b/>
          <w:bCs/>
        </w:rPr>
        <w:t xml:space="preserve"> and Beach </w:t>
      </w:r>
      <w:r w:rsidR="00901BA2" w:rsidRPr="008E2003">
        <w:rPr>
          <w:b/>
          <w:bCs/>
        </w:rPr>
        <w:t>cleaning</w:t>
      </w:r>
    </w:p>
    <w:p w14:paraId="45C900FE" w14:textId="77FDC575" w:rsidR="00945DA3" w:rsidRDefault="00CF1D31" w:rsidP="00B530D1">
      <w:r>
        <w:t>During the summer period</w:t>
      </w:r>
      <w:r w:rsidR="0027183A">
        <w:t xml:space="preserve"> the main beaches in Tor Bay </w:t>
      </w:r>
      <w:r w:rsidR="002C311D">
        <w:t xml:space="preserve">are regularly raked to clear the beach of seaweed </w:t>
      </w:r>
      <w:r w:rsidR="007B6362">
        <w:t>and other flotsam and jetsam. For safety reasons the beaches can only be rak</w:t>
      </w:r>
      <w:r w:rsidR="00AB4926">
        <w:t>ed</w:t>
      </w:r>
      <w:r w:rsidR="007B6362">
        <w:t xml:space="preserve"> in the morning before 10am</w:t>
      </w:r>
      <w:r w:rsidR="009A03B3">
        <w:t xml:space="preserve">. The </w:t>
      </w:r>
      <w:r w:rsidR="00F53C56">
        <w:t>t</w:t>
      </w:r>
      <w:r w:rsidR="000D79ED">
        <w:t xml:space="preserve">ide </w:t>
      </w:r>
      <w:r w:rsidR="009A03B3">
        <w:t>also need</w:t>
      </w:r>
      <w:r w:rsidR="000D79ED">
        <w:t>s</w:t>
      </w:r>
      <w:r w:rsidR="009A03B3">
        <w:t xml:space="preserve"> to be out or at a </w:t>
      </w:r>
      <w:r w:rsidR="00C30FC7">
        <w:t>mid-range, because these two conditions ne</w:t>
      </w:r>
      <w:r w:rsidR="001666C1">
        <w:t xml:space="preserve">ed to be met it means that raking cannot be undertaken </w:t>
      </w:r>
      <w:r w:rsidR="008E2003">
        <w:t>daily</w:t>
      </w:r>
      <w:r w:rsidR="001D1742">
        <w:t xml:space="preserve">. If there is a large </w:t>
      </w:r>
      <w:r w:rsidR="00FB14B9">
        <w:t>build-up</w:t>
      </w:r>
      <w:r w:rsidR="001D1742">
        <w:t xml:space="preserve"> of</w:t>
      </w:r>
      <w:r w:rsidR="00FB14B9">
        <w:t xml:space="preserve"> </w:t>
      </w:r>
      <w:r w:rsidR="008E2003">
        <w:t>seaweed</w:t>
      </w:r>
      <w:r w:rsidR="00940630">
        <w:t xml:space="preserve"> during a period that the raking vehicles cannot </w:t>
      </w:r>
      <w:r w:rsidR="007C237E">
        <w:t>get onto the beach</w:t>
      </w:r>
      <w:r w:rsidR="000D79ED">
        <w:t xml:space="preserve"> in the morning,</w:t>
      </w:r>
      <w:r w:rsidR="007C237E">
        <w:t xml:space="preserve"> consideration is given to doing </w:t>
      </w:r>
      <w:r w:rsidR="00EE3CBE">
        <w:t xml:space="preserve">later raking with added </w:t>
      </w:r>
      <w:r w:rsidR="00CC77D3">
        <w:t>safety precautions.</w:t>
      </w:r>
    </w:p>
    <w:p w14:paraId="732D3693" w14:textId="13BC4C13" w:rsidR="00CC77D3" w:rsidRDefault="00CC77D3" w:rsidP="00B530D1">
      <w:r>
        <w:t xml:space="preserve">All the main bathing beaches have </w:t>
      </w:r>
      <w:r w:rsidR="00681AC8">
        <w:t xml:space="preserve">added cleaning staff during the summer period who </w:t>
      </w:r>
      <w:r w:rsidR="00A05A49">
        <w:t>empty the waste bins and litter pick on the beaches and promenades</w:t>
      </w:r>
      <w:r w:rsidR="004C0C92">
        <w:t>. An</w:t>
      </w:r>
      <w:r w:rsidR="00E60D33">
        <w:t>y</w:t>
      </w:r>
      <w:r w:rsidR="004C0C92">
        <w:t xml:space="preserve"> reports of overflowing bins, </w:t>
      </w:r>
      <w:r w:rsidR="00E60D33">
        <w:t>waste on the beach</w:t>
      </w:r>
      <w:r w:rsidR="003849B5">
        <w:t xml:space="preserve"> or pollution incidents </w:t>
      </w:r>
      <w:r w:rsidR="00EF7A77">
        <w:t xml:space="preserve">are dealt with immediately by either beach staff </w:t>
      </w:r>
      <w:r w:rsidR="00383C64">
        <w:t>or the cleaning contractors (</w:t>
      </w:r>
      <w:proofErr w:type="spellStart"/>
      <w:r w:rsidR="00383C64">
        <w:t>SWISCo</w:t>
      </w:r>
      <w:proofErr w:type="spellEnd"/>
      <w:r w:rsidR="00383C64">
        <w:t>)</w:t>
      </w:r>
    </w:p>
    <w:p w14:paraId="6F78BD3A" w14:textId="047FD575" w:rsidR="00945DA3" w:rsidRPr="006E5106" w:rsidRDefault="00945DA3" w:rsidP="00B530D1">
      <w:pPr>
        <w:rPr>
          <w:b/>
          <w:bCs/>
        </w:rPr>
      </w:pPr>
      <w:r w:rsidRPr="006E5106">
        <w:rPr>
          <w:b/>
          <w:bCs/>
        </w:rPr>
        <w:t>Dogs</w:t>
      </w:r>
    </w:p>
    <w:p w14:paraId="372C95A3" w14:textId="40EA96DC" w:rsidR="00945DA3" w:rsidRDefault="00855E14" w:rsidP="00B530D1">
      <w:r w:rsidRPr="00855E14">
        <w:lastRenderedPageBreak/>
        <w:t>Dogs are not allowed on certain beaches from 1 May to 30 September each yea</w:t>
      </w:r>
      <w:r w:rsidR="00622E80">
        <w:t>r</w:t>
      </w:r>
      <w:r w:rsidR="00A64A14">
        <w:t>.</w:t>
      </w:r>
      <w:r w:rsidR="00622E80">
        <w:t xml:space="preserve"> </w:t>
      </w:r>
      <w:r w:rsidR="00A64A14">
        <w:t>A</w:t>
      </w:r>
      <w:r w:rsidR="00622E80">
        <w:t xml:space="preserve"> list of these </w:t>
      </w:r>
      <w:r w:rsidR="006F4295">
        <w:t>beaches</w:t>
      </w:r>
      <w:r w:rsidR="00622E80">
        <w:t xml:space="preserve"> can be </w:t>
      </w:r>
      <w:r w:rsidR="00A923F9">
        <w:t>found in the Beaches section of the Tor Bay Harbour website</w:t>
      </w:r>
      <w:r w:rsidR="000D79ED">
        <w:t>,</w:t>
      </w:r>
      <w:r w:rsidR="00A64A14">
        <w:t xml:space="preserve"> and signage is put </w:t>
      </w:r>
      <w:r w:rsidR="00481FE1">
        <w:t xml:space="preserve">up at the entrance to all the beaches that have </w:t>
      </w:r>
      <w:r w:rsidR="003964F7">
        <w:t xml:space="preserve">the </w:t>
      </w:r>
      <w:r w:rsidR="00481FE1">
        <w:t>dog</w:t>
      </w:r>
      <w:r w:rsidR="003964F7">
        <w:t xml:space="preserve"> ban</w:t>
      </w:r>
      <w:r w:rsidRPr="00855E14">
        <w:t xml:space="preserve">. During this </w:t>
      </w:r>
      <w:proofErr w:type="gramStart"/>
      <w:r w:rsidRPr="00855E14">
        <w:t>time period</w:t>
      </w:r>
      <w:proofErr w:type="gramEnd"/>
      <w:r w:rsidRPr="00855E14">
        <w:t xml:space="preserve"> dogs </w:t>
      </w:r>
      <w:r w:rsidRPr="00855E14">
        <w:rPr>
          <w:b/>
          <w:bCs/>
        </w:rPr>
        <w:t>must</w:t>
      </w:r>
      <w:r w:rsidRPr="00855E14">
        <w:t> also be kept on a lead on promenades adjacent to the beaches where dogs are not allowed.</w:t>
      </w:r>
      <w:r w:rsidR="006E766E">
        <w:t xml:space="preserve"> The ban is enforced by a Public </w:t>
      </w:r>
      <w:r w:rsidR="00737838">
        <w:t>Space Protection Order</w:t>
      </w:r>
      <w:r w:rsidR="006E5106">
        <w:t xml:space="preserve"> (PSPO)</w:t>
      </w:r>
      <w:r w:rsidR="003D71D4">
        <w:t xml:space="preserve"> and </w:t>
      </w:r>
      <w:r w:rsidR="000D79ED">
        <w:t xml:space="preserve">local </w:t>
      </w:r>
      <w:r w:rsidR="003D71D4">
        <w:t>Bye Law</w:t>
      </w:r>
      <w:r w:rsidR="0077273E">
        <w:t xml:space="preserve">. Owners found </w:t>
      </w:r>
      <w:r w:rsidR="003B18BB">
        <w:t>breaking</w:t>
      </w:r>
      <w:r w:rsidR="0077273E">
        <w:t xml:space="preserve"> </w:t>
      </w:r>
      <w:r w:rsidR="006E5106">
        <w:t>these rules</w:t>
      </w:r>
      <w:r w:rsidR="003B18BB">
        <w:t xml:space="preserve"> could face an on the spot fine</w:t>
      </w:r>
      <w:r w:rsidR="006E5106">
        <w:t>, and</w:t>
      </w:r>
      <w:r w:rsidR="003B18BB">
        <w:t xml:space="preserve"> or be pro</w:t>
      </w:r>
      <w:r w:rsidR="006E5106">
        <w:t>secuted through the courts.</w:t>
      </w:r>
    </w:p>
    <w:p w14:paraId="3D36B406" w14:textId="0568F928" w:rsidR="00945DA3" w:rsidRPr="00D61737" w:rsidRDefault="00945DA3" w:rsidP="00B530D1">
      <w:pPr>
        <w:rPr>
          <w:b/>
          <w:bCs/>
        </w:rPr>
      </w:pPr>
      <w:r w:rsidRPr="00D61737">
        <w:rPr>
          <w:b/>
          <w:bCs/>
        </w:rPr>
        <w:t xml:space="preserve">Commercial </w:t>
      </w:r>
      <w:r w:rsidR="005307CC" w:rsidRPr="00D61737">
        <w:rPr>
          <w:b/>
          <w:bCs/>
        </w:rPr>
        <w:t xml:space="preserve">Beach </w:t>
      </w:r>
      <w:r w:rsidRPr="00D61737">
        <w:rPr>
          <w:b/>
          <w:bCs/>
        </w:rPr>
        <w:t>Operators</w:t>
      </w:r>
    </w:p>
    <w:p w14:paraId="7E92E3B5" w14:textId="3A96D78B" w:rsidR="00FF1E6A" w:rsidRDefault="006E5D2E" w:rsidP="00B530D1">
      <w:r>
        <w:t xml:space="preserve">At some beaches the council </w:t>
      </w:r>
      <w:r w:rsidR="00A91C7B">
        <w:t>has granted permission</w:t>
      </w:r>
      <w:r w:rsidR="000C647E">
        <w:t xml:space="preserve"> to </w:t>
      </w:r>
      <w:r w:rsidR="004D78BA">
        <w:t>businesses</w:t>
      </w:r>
      <w:r w:rsidR="00A91C7B">
        <w:t xml:space="preserve"> by means of a lease </w:t>
      </w:r>
      <w:r w:rsidR="006F3EDF">
        <w:t xml:space="preserve">to provide services such as the hire of kayaks, stand up </w:t>
      </w:r>
      <w:r w:rsidR="005307CC">
        <w:t>paddle</w:t>
      </w:r>
      <w:r w:rsidR="006F3EDF">
        <w:t xml:space="preserve"> </w:t>
      </w:r>
      <w:r w:rsidR="00284480">
        <w:t>boards and other forms of un-motorised craft to</w:t>
      </w:r>
      <w:r w:rsidR="005307CC">
        <w:t xml:space="preserve"> the public</w:t>
      </w:r>
      <w:r w:rsidR="0080689D">
        <w:t xml:space="preserve">. Within their lease </w:t>
      </w:r>
      <w:r w:rsidR="001363DD">
        <w:t xml:space="preserve">they will be granted an area of the promenade, and or </w:t>
      </w:r>
      <w:r w:rsidR="00123817">
        <w:t>an area of the beach to setup the</w:t>
      </w:r>
      <w:r w:rsidR="00712C66">
        <w:t xml:space="preserve">ir office and </w:t>
      </w:r>
      <w:r w:rsidR="00065469">
        <w:t xml:space="preserve">equipment. </w:t>
      </w:r>
      <w:r w:rsidR="00032DC7">
        <w:t>As well as permission to use the land, a</w:t>
      </w:r>
      <w:r w:rsidR="00065469">
        <w:t xml:space="preserve">ll </w:t>
      </w:r>
      <w:r w:rsidR="00D61737">
        <w:t>operators</w:t>
      </w:r>
      <w:r w:rsidR="00065469">
        <w:t xml:space="preserve"> will have to have </w:t>
      </w:r>
      <w:r w:rsidR="00F1009F">
        <w:t xml:space="preserve">obtained a licence </w:t>
      </w:r>
      <w:r w:rsidR="00281B4A">
        <w:t xml:space="preserve">from Tor Bay Harbour Authority </w:t>
      </w:r>
      <w:r w:rsidR="00F1009F">
        <w:t>to hire sea going craft</w:t>
      </w:r>
      <w:r w:rsidR="00281B4A">
        <w:t xml:space="preserve"> to the public. </w:t>
      </w:r>
      <w:r w:rsidR="001C6A1B">
        <w:t>Licences</w:t>
      </w:r>
      <w:r w:rsidR="00281B4A">
        <w:t xml:space="preserve"> are only issued to</w:t>
      </w:r>
      <w:r w:rsidR="001C6A1B">
        <w:t xml:space="preserve"> operators who have demonstrated that they have </w:t>
      </w:r>
      <w:r w:rsidR="00AD2B33">
        <w:t>adequate health &amp; safety procedures</w:t>
      </w:r>
      <w:r w:rsidR="000540FA">
        <w:t>,</w:t>
      </w:r>
      <w:r w:rsidR="00AD2B33">
        <w:t xml:space="preserve"> that </w:t>
      </w:r>
      <w:r w:rsidR="00D61737">
        <w:t>their</w:t>
      </w:r>
      <w:r w:rsidR="00AD2B33">
        <w:t xml:space="preserve"> craft are in a </w:t>
      </w:r>
      <w:r w:rsidR="00D61737">
        <w:t>seaworthy</w:t>
      </w:r>
      <w:r w:rsidR="00AD2B33">
        <w:t xml:space="preserve"> conditio</w:t>
      </w:r>
      <w:r w:rsidR="000540FA">
        <w:t xml:space="preserve">n, and they have appropriate </w:t>
      </w:r>
      <w:r w:rsidR="00ED3E43">
        <w:t xml:space="preserve">public liability insurance in place. The Harbour Authority </w:t>
      </w:r>
      <w:r w:rsidR="004D5AAD">
        <w:t xml:space="preserve">carry out </w:t>
      </w:r>
      <w:r w:rsidR="00FA577D">
        <w:t>r</w:t>
      </w:r>
      <w:r w:rsidR="009F4DA2">
        <w:t xml:space="preserve">andom </w:t>
      </w:r>
      <w:r w:rsidR="004D5AAD">
        <w:t>audits during the summer to ensure that the operat</w:t>
      </w:r>
      <w:r w:rsidR="0059585A">
        <w:t>ors are complying to the safety management systems that they supplied during their licence application</w:t>
      </w:r>
      <w:r w:rsidR="00810005">
        <w:t>. Any operator failing an audit will be stopped f</w:t>
      </w:r>
      <w:r w:rsidR="009F4DA2">
        <w:t>rom</w:t>
      </w:r>
      <w:r w:rsidR="00810005">
        <w:t xml:space="preserve"> operating until they </w:t>
      </w:r>
      <w:r w:rsidR="00B116CF">
        <w:t xml:space="preserve">can satisfy the Harbour Authority </w:t>
      </w:r>
      <w:r w:rsidR="000536E4">
        <w:t>that they are able to comply to the required licen</w:t>
      </w:r>
      <w:r w:rsidR="00D61737">
        <w:t>ce conditions.</w:t>
      </w:r>
    </w:p>
    <w:p w14:paraId="42C1B060" w14:textId="0BB09968" w:rsidR="000A620D" w:rsidRPr="0091175E" w:rsidRDefault="000A620D" w:rsidP="00B530D1">
      <w:pPr>
        <w:rPr>
          <w:b/>
          <w:bCs/>
        </w:rPr>
      </w:pPr>
      <w:r w:rsidRPr="0091175E">
        <w:rPr>
          <w:b/>
          <w:bCs/>
        </w:rPr>
        <w:t>Taps and showers</w:t>
      </w:r>
    </w:p>
    <w:p w14:paraId="10F9DFAF" w14:textId="0A875643" w:rsidR="00335058" w:rsidRDefault="00510867" w:rsidP="00B530D1">
      <w:r>
        <w:t xml:space="preserve">Public showers and taps are </w:t>
      </w:r>
      <w:r w:rsidR="007D17E3">
        <w:t>installed at most of Torbay’s beaches</w:t>
      </w:r>
      <w:r w:rsidR="00665DED">
        <w:t>, which are serviced annually and inspected throughout the summer season</w:t>
      </w:r>
      <w:r w:rsidR="009D5339">
        <w:t xml:space="preserve">. Defects are reported to the </w:t>
      </w:r>
      <w:r w:rsidR="009F4DA2">
        <w:t xml:space="preserve">maintenance </w:t>
      </w:r>
      <w:r w:rsidR="009D5339">
        <w:t>contractors who aim to fix any pro</w:t>
      </w:r>
      <w:r w:rsidR="005A36DE">
        <w:t xml:space="preserve">blems </w:t>
      </w:r>
      <w:r w:rsidR="009F4DA2">
        <w:t>the same day</w:t>
      </w:r>
      <w:r w:rsidR="00B4640C">
        <w:t xml:space="preserve"> or </w:t>
      </w:r>
      <w:r w:rsidR="005A36DE">
        <w:t>as soon as possible</w:t>
      </w:r>
      <w:r w:rsidR="0081766D">
        <w:t>. During the winter period</w:t>
      </w:r>
      <w:r w:rsidR="009A00F4">
        <w:t xml:space="preserve"> </w:t>
      </w:r>
      <w:proofErr w:type="gramStart"/>
      <w:r w:rsidR="009A00F4">
        <w:t>the majority of</w:t>
      </w:r>
      <w:proofErr w:type="gramEnd"/>
      <w:r w:rsidR="009A00F4">
        <w:t xml:space="preserve"> the showers and taps are disconnected </w:t>
      </w:r>
      <w:r w:rsidR="0057599E">
        <w:t xml:space="preserve">due the risk of legionnaires </w:t>
      </w:r>
      <w:r w:rsidR="00E175BB">
        <w:t>disease</w:t>
      </w:r>
      <w:r w:rsidR="0057599E">
        <w:t xml:space="preserve"> </w:t>
      </w:r>
      <w:r w:rsidR="00E175BB">
        <w:t>because of reduced usage</w:t>
      </w:r>
      <w:r w:rsidR="00D650DD">
        <w:t>. Some showers are left on during the winter</w:t>
      </w:r>
      <w:r w:rsidR="00B4334B">
        <w:t xml:space="preserve"> and these are ‘run through’ periodically by the beach staff. </w:t>
      </w:r>
      <w:r w:rsidR="00B4640C">
        <w:t>However,</w:t>
      </w:r>
      <w:r w:rsidR="00B4334B">
        <w:t xml:space="preserve"> </w:t>
      </w:r>
      <w:r w:rsidR="003C2A9C">
        <w:t>during periods of very cold weather these are also turn</w:t>
      </w:r>
      <w:r w:rsidR="00310B59">
        <w:t>ed</w:t>
      </w:r>
      <w:r w:rsidR="003C2A9C">
        <w:t xml:space="preserve"> off to prevent damage caused by </w:t>
      </w:r>
      <w:r w:rsidR="0091175E">
        <w:t>freezing pipes.</w:t>
      </w:r>
    </w:p>
    <w:p w14:paraId="6F92A49D" w14:textId="04E7DCA3" w:rsidR="00335058" w:rsidRPr="00E92308" w:rsidRDefault="00335058" w:rsidP="00B530D1">
      <w:pPr>
        <w:rPr>
          <w:b/>
          <w:bCs/>
        </w:rPr>
      </w:pPr>
      <w:r w:rsidRPr="00E92308">
        <w:rPr>
          <w:b/>
          <w:bCs/>
        </w:rPr>
        <w:t>First Aid Provision</w:t>
      </w:r>
    </w:p>
    <w:p w14:paraId="4E07FED4" w14:textId="619B11C6" w:rsidR="008634F9" w:rsidRDefault="00A23A92" w:rsidP="00B530D1">
      <w:r>
        <w:t xml:space="preserve">The </w:t>
      </w:r>
      <w:r w:rsidR="0029723B">
        <w:t>council provide First Aid equipment at the ‘Blue Flag</w:t>
      </w:r>
      <w:r w:rsidR="00AA605E">
        <w:t xml:space="preserve"> Award’ beaches</w:t>
      </w:r>
      <w:r w:rsidR="00816EEA">
        <w:t>. The equipment</w:t>
      </w:r>
      <w:r w:rsidR="00D6546E">
        <w:t xml:space="preserve"> is kept by tena</w:t>
      </w:r>
      <w:r w:rsidR="00E805EF">
        <w:t>nts (usually a café or kayak hi</w:t>
      </w:r>
      <w:r w:rsidR="00B4640C">
        <w:t>r</w:t>
      </w:r>
      <w:r w:rsidR="00E805EF">
        <w:t xml:space="preserve">e business) at the </w:t>
      </w:r>
      <w:r w:rsidR="00A805B7">
        <w:t>relevant beaches and indicated on a map located in the beach notice board</w:t>
      </w:r>
      <w:r w:rsidR="000E4630">
        <w:t xml:space="preserve">. The tenants are not permitted to administer first aid unless they have qualified </w:t>
      </w:r>
      <w:r w:rsidR="000A1026">
        <w:t>staff but</w:t>
      </w:r>
      <w:r w:rsidR="00D50DDB">
        <w:t xml:space="preserve"> can provide the first aid kit for people to </w:t>
      </w:r>
      <w:r w:rsidR="000A1026">
        <w:t>self-administer</w:t>
      </w:r>
      <w:r w:rsidR="00FC21EA">
        <w:t xml:space="preserve">. A list of the Blue Flag beaches can be found in the beaches section of the Tor Bay </w:t>
      </w:r>
      <w:r w:rsidR="0045778B">
        <w:t>Harbour website</w:t>
      </w:r>
      <w:r w:rsidR="00E92308">
        <w:t>.</w:t>
      </w:r>
    </w:p>
    <w:p w14:paraId="7F604FDA" w14:textId="35C49E50" w:rsidR="00335058" w:rsidRPr="00230A1A" w:rsidRDefault="00335058" w:rsidP="00B530D1">
      <w:pPr>
        <w:rPr>
          <w:b/>
          <w:bCs/>
        </w:rPr>
      </w:pPr>
      <w:r w:rsidRPr="00230A1A">
        <w:rPr>
          <w:b/>
          <w:bCs/>
        </w:rPr>
        <w:t>Toilet Cards</w:t>
      </w:r>
    </w:p>
    <w:p w14:paraId="52FA309D" w14:textId="00B0DE32" w:rsidR="00076EA6" w:rsidRDefault="00DD4080" w:rsidP="00B530D1">
      <w:r>
        <w:t xml:space="preserve">A toilet card is issued to </w:t>
      </w:r>
      <w:r w:rsidR="00D96E20">
        <w:t xml:space="preserve">all </w:t>
      </w:r>
      <w:r w:rsidR="0022719D">
        <w:t xml:space="preserve">beach hut site, Cabin and Chalet customers which provide free access to </w:t>
      </w:r>
      <w:r w:rsidR="00153791">
        <w:t>the toilets located at the beaches</w:t>
      </w:r>
      <w:r w:rsidR="00E061E5">
        <w:t>. They are to be used by the customer, family and friends that are using the facility</w:t>
      </w:r>
      <w:r w:rsidR="00A416B5">
        <w:t xml:space="preserve">. They are not to be given to any other third party to use. The toilets in Torbay </w:t>
      </w:r>
      <w:r w:rsidR="005105FC">
        <w:t xml:space="preserve">are serviced and maintained by </w:t>
      </w:r>
      <w:proofErr w:type="spellStart"/>
      <w:r w:rsidR="005105FC">
        <w:t>Healthmatic</w:t>
      </w:r>
      <w:proofErr w:type="spellEnd"/>
      <w:r w:rsidR="005105FC">
        <w:t xml:space="preserve"> and their contract is pa</w:t>
      </w:r>
      <w:r w:rsidR="00D0121E">
        <w:t>id for by the entry fee.</w:t>
      </w:r>
      <w:r w:rsidR="00EB091B">
        <w:t xml:space="preserve"> Any persistent misuse of a toile</w:t>
      </w:r>
      <w:r w:rsidR="00C01660">
        <w:t>t card could result in withdrawal of the facility.</w:t>
      </w:r>
      <w:r w:rsidR="00D0121E">
        <w:t xml:space="preserve"> The cards </w:t>
      </w:r>
      <w:r w:rsidR="009453D6">
        <w:t>given</w:t>
      </w:r>
      <w:r w:rsidR="00D0121E">
        <w:t xml:space="preserve"> to </w:t>
      </w:r>
      <w:r w:rsidR="009453D6">
        <w:t xml:space="preserve">customers are provided by </w:t>
      </w:r>
      <w:proofErr w:type="spellStart"/>
      <w:r w:rsidR="001B4350">
        <w:t>SWISCo</w:t>
      </w:r>
      <w:proofErr w:type="spellEnd"/>
      <w:r w:rsidR="001B4350">
        <w:t xml:space="preserve"> who manage the contract</w:t>
      </w:r>
      <w:r w:rsidR="008A3812">
        <w:t xml:space="preserve"> and monitor the card usage. </w:t>
      </w:r>
      <w:r w:rsidR="00060ABC">
        <w:t xml:space="preserve">Lost cards need to be reported to </w:t>
      </w:r>
      <w:proofErr w:type="spellStart"/>
      <w:r w:rsidR="00060ABC">
        <w:t>SWISCo</w:t>
      </w:r>
      <w:proofErr w:type="spellEnd"/>
      <w:r w:rsidR="003E5A44">
        <w:t xml:space="preserve"> and there is a £</w:t>
      </w:r>
      <w:r w:rsidR="00834FD7">
        <w:t>25</w:t>
      </w:r>
      <w:r w:rsidR="003E5A44">
        <w:t xml:space="preserve"> Fee to replace the card</w:t>
      </w:r>
      <w:r w:rsidR="00A22D70">
        <w:t xml:space="preserve">. </w:t>
      </w:r>
      <w:r w:rsidR="00A22D70" w:rsidRPr="00A22D70">
        <w:rPr>
          <w:lang w:val="en-US"/>
        </w:rPr>
        <w:t xml:space="preserve">Toilet cards must be returned to </w:t>
      </w:r>
      <w:proofErr w:type="spellStart"/>
      <w:r w:rsidR="00A22D70" w:rsidRPr="00A22D70">
        <w:rPr>
          <w:lang w:val="en-US"/>
        </w:rPr>
        <w:t>SWISCo</w:t>
      </w:r>
      <w:proofErr w:type="spellEnd"/>
      <w:r w:rsidR="00A22D70" w:rsidRPr="00A22D70">
        <w:rPr>
          <w:lang w:val="en-US"/>
        </w:rPr>
        <w:t xml:space="preserve"> at the end of th</w:t>
      </w:r>
      <w:r w:rsidR="002F12FF">
        <w:rPr>
          <w:lang w:val="en-US"/>
        </w:rPr>
        <w:t>e</w:t>
      </w:r>
      <w:r w:rsidR="00A22D70" w:rsidRPr="00A22D70">
        <w:rPr>
          <w:lang w:val="en-US"/>
        </w:rPr>
        <w:t xml:space="preserve"> agreement</w:t>
      </w:r>
      <w:r w:rsidR="006201DA">
        <w:rPr>
          <w:lang w:val="en-US"/>
        </w:rPr>
        <w:t xml:space="preserve"> </w:t>
      </w:r>
      <w:r w:rsidR="006427B7">
        <w:rPr>
          <w:lang w:val="en-US"/>
        </w:rPr>
        <w:t xml:space="preserve">(when the customer </w:t>
      </w:r>
      <w:r w:rsidR="00C36CFE">
        <w:rPr>
          <w:lang w:val="en-US"/>
        </w:rPr>
        <w:t>relinquishes the facilit</w:t>
      </w:r>
      <w:r w:rsidR="002F12FF">
        <w:rPr>
          <w:lang w:val="en-US"/>
        </w:rPr>
        <w:t>y,</w:t>
      </w:r>
      <w:r w:rsidR="00C36CFE">
        <w:rPr>
          <w:lang w:val="en-US"/>
        </w:rPr>
        <w:t xml:space="preserve"> or the facility is withdrawn by the Council)</w:t>
      </w:r>
      <w:r w:rsidR="00A22D70" w:rsidRPr="00A22D70">
        <w:rPr>
          <w:lang w:val="en-US"/>
        </w:rPr>
        <w:t>, failure to do so will incur a cost of £25.00</w:t>
      </w:r>
    </w:p>
    <w:p w14:paraId="2B22BCB5" w14:textId="5800034D" w:rsidR="00D702F6" w:rsidRPr="004C36DF" w:rsidRDefault="000B52EC" w:rsidP="00B530D1">
      <w:pPr>
        <w:rPr>
          <w:b/>
          <w:bCs/>
        </w:rPr>
      </w:pPr>
      <w:r w:rsidRPr="004C36DF">
        <w:rPr>
          <w:b/>
          <w:bCs/>
        </w:rPr>
        <w:t>Condition of Beach Huts</w:t>
      </w:r>
    </w:p>
    <w:p w14:paraId="1216334A" w14:textId="7CF1A803" w:rsidR="00446C42" w:rsidRDefault="00A72238" w:rsidP="00B530D1">
      <w:r>
        <w:lastRenderedPageBreak/>
        <w:t xml:space="preserve">It is the </w:t>
      </w:r>
      <w:r w:rsidR="004C36DF">
        <w:t>owner’s</w:t>
      </w:r>
      <w:r>
        <w:t xml:space="preserve"> responsibility to maintain</w:t>
      </w:r>
      <w:r w:rsidR="006C23A9">
        <w:t xml:space="preserve"> and</w:t>
      </w:r>
      <w:r w:rsidR="00AF36BB">
        <w:t xml:space="preserve"> keep </w:t>
      </w:r>
      <w:r w:rsidR="00774A9F">
        <w:t xml:space="preserve">the hut </w:t>
      </w:r>
      <w:r w:rsidR="00774A9F" w:rsidRPr="00774A9F">
        <w:rPr>
          <w:lang w:val="en-US"/>
        </w:rPr>
        <w:t xml:space="preserve">substantially repaired and in good order, including roofing felt, </w:t>
      </w:r>
      <w:r w:rsidR="006C23A9">
        <w:rPr>
          <w:lang w:val="en-US"/>
        </w:rPr>
        <w:t xml:space="preserve">and </w:t>
      </w:r>
      <w:r w:rsidR="00774A9F" w:rsidRPr="00774A9F">
        <w:rPr>
          <w:lang w:val="en-US"/>
        </w:rPr>
        <w:t>regular painting</w:t>
      </w:r>
      <w:r w:rsidR="006C23A9">
        <w:rPr>
          <w:lang w:val="en-US"/>
        </w:rPr>
        <w:t xml:space="preserve">. If a hut is deemed </w:t>
      </w:r>
      <w:r w:rsidR="00DB177F">
        <w:rPr>
          <w:lang w:val="en-US"/>
        </w:rPr>
        <w:t>by the beach manager to be in a poor state of repair the owner will be contacted</w:t>
      </w:r>
      <w:r w:rsidR="00D64EA4">
        <w:rPr>
          <w:lang w:val="en-US"/>
        </w:rPr>
        <w:t xml:space="preserve"> and given an expect</w:t>
      </w:r>
      <w:r w:rsidR="006D0B35">
        <w:rPr>
          <w:lang w:val="en-US"/>
        </w:rPr>
        <w:t>ed</w:t>
      </w:r>
      <w:r w:rsidR="00D64EA4">
        <w:rPr>
          <w:lang w:val="en-US"/>
        </w:rPr>
        <w:t xml:space="preserve"> time scale for repairs and maintenance to be completed</w:t>
      </w:r>
      <w:r w:rsidR="007B3983">
        <w:rPr>
          <w:lang w:val="en-US"/>
        </w:rPr>
        <w:t>. Failure to comply without good reason could lead to with</w:t>
      </w:r>
      <w:r w:rsidR="004C36DF">
        <w:rPr>
          <w:lang w:val="en-US"/>
        </w:rPr>
        <w:t>drawal of the facility.</w:t>
      </w:r>
    </w:p>
    <w:p w14:paraId="1D79633C" w14:textId="22D904C6" w:rsidR="00901BA2" w:rsidRPr="002A08F7" w:rsidRDefault="00901BA2" w:rsidP="00B530D1">
      <w:pPr>
        <w:rPr>
          <w:b/>
          <w:bCs/>
        </w:rPr>
      </w:pPr>
      <w:r w:rsidRPr="002A08F7">
        <w:rPr>
          <w:b/>
          <w:bCs/>
        </w:rPr>
        <w:t>Barbeques and Fires</w:t>
      </w:r>
    </w:p>
    <w:p w14:paraId="7A98F2CC" w14:textId="1505C6C7" w:rsidR="001C2323" w:rsidRPr="00B530D1" w:rsidRDefault="001C2323" w:rsidP="00B530D1">
      <w:r>
        <w:t>Open fire</w:t>
      </w:r>
      <w:r w:rsidR="00B4640C">
        <w:t>s</w:t>
      </w:r>
      <w:r>
        <w:t xml:space="preserve"> and </w:t>
      </w:r>
      <w:r w:rsidR="00B2440B">
        <w:t xml:space="preserve">single use </w:t>
      </w:r>
      <w:r w:rsidR="006A07A9">
        <w:t xml:space="preserve">or disposable barbeques are not permitted on any </w:t>
      </w:r>
      <w:r w:rsidR="00374A9D">
        <w:t xml:space="preserve">of the Torbay </w:t>
      </w:r>
      <w:r w:rsidR="006A07A9">
        <w:t>beach</w:t>
      </w:r>
      <w:r w:rsidR="00374A9D">
        <w:t>es</w:t>
      </w:r>
      <w:r w:rsidR="006A07A9">
        <w:t xml:space="preserve"> or </w:t>
      </w:r>
      <w:r w:rsidR="00D77D29">
        <w:t>promenades</w:t>
      </w:r>
      <w:r w:rsidR="00A3785F">
        <w:t xml:space="preserve">. </w:t>
      </w:r>
      <w:r w:rsidR="002A08F7">
        <w:t>However,</w:t>
      </w:r>
      <w:r w:rsidR="00A3785F">
        <w:t xml:space="preserve"> </w:t>
      </w:r>
      <w:r w:rsidR="00C9277A">
        <w:t xml:space="preserve">holders of </w:t>
      </w:r>
      <w:r w:rsidR="00A3785F">
        <w:t>organised event</w:t>
      </w:r>
      <w:r w:rsidR="00C9277A">
        <w:t>s</w:t>
      </w:r>
      <w:r w:rsidR="00A3785F">
        <w:t xml:space="preserve"> can </w:t>
      </w:r>
      <w:r w:rsidR="00C9277A">
        <w:t xml:space="preserve">apply to the Harbour Authority to have </w:t>
      </w:r>
      <w:r w:rsidR="00F80634">
        <w:t xml:space="preserve">a fire, </w:t>
      </w:r>
      <w:r w:rsidR="00F80634" w:rsidRPr="00F80634">
        <w:t>in such a manner as to safeguard against damage or danger to any person</w:t>
      </w:r>
      <w:r w:rsidR="004316DB">
        <w:t xml:space="preserve">. If the adequate safeguards can be </w:t>
      </w:r>
      <w:r w:rsidR="002A08F7">
        <w:t>demonstrated,</w:t>
      </w:r>
      <w:r w:rsidR="004316DB">
        <w:t xml:space="preserve"> the</w:t>
      </w:r>
      <w:r w:rsidR="00C22BBA">
        <w:t xml:space="preserve"> Harbour</w:t>
      </w:r>
      <w:r w:rsidR="004316DB">
        <w:t xml:space="preserve"> Authority </w:t>
      </w:r>
      <w:r w:rsidR="002A08F7">
        <w:t>may grant permission at their discretion.</w:t>
      </w:r>
    </w:p>
    <w:sectPr w:rsidR="001C2323" w:rsidRPr="00B530D1" w:rsidSect="0002446C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2958" w14:textId="77777777" w:rsidR="00087A31" w:rsidRDefault="00087A31" w:rsidP="008952DF">
      <w:r>
        <w:separator/>
      </w:r>
    </w:p>
  </w:endnote>
  <w:endnote w:type="continuationSeparator" w:id="0">
    <w:p w14:paraId="0360C933" w14:textId="77777777" w:rsidR="00087A31" w:rsidRDefault="00087A31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108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2D7578DC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26693726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0EAA516A" w14:textId="77777777" w:rsidR="0002446C" w:rsidRDefault="0002446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30DA" w14:textId="20A0F2FA" w:rsidR="00FF246D" w:rsidRDefault="00FF246D">
    <w:pPr>
      <w:pStyle w:val="Footer"/>
    </w:pPr>
    <w:r>
      <w:t xml:space="preserve">Version 1.2 </w:t>
    </w:r>
  </w:p>
  <w:p w14:paraId="21B0B0FA" w14:textId="77777777" w:rsidR="0002446C" w:rsidRPr="0049312B" w:rsidRDefault="0002446C" w:rsidP="00493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E541" w14:textId="77777777" w:rsidR="00087A31" w:rsidRDefault="00087A31" w:rsidP="008952DF">
      <w:r>
        <w:separator/>
      </w:r>
    </w:p>
  </w:footnote>
  <w:footnote w:type="continuationSeparator" w:id="0">
    <w:p w14:paraId="36823729" w14:textId="77777777" w:rsidR="00087A31" w:rsidRDefault="00087A31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71A3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BD63" w14:textId="77777777" w:rsidR="004067A0" w:rsidRDefault="004067A0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A08E5"/>
    <w:multiLevelType w:val="hybridMultilevel"/>
    <w:tmpl w:val="DDBAE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A61B14"/>
    <w:multiLevelType w:val="hybridMultilevel"/>
    <w:tmpl w:val="29D66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C151A5"/>
    <w:multiLevelType w:val="multilevel"/>
    <w:tmpl w:val="F8F4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6678543">
    <w:abstractNumId w:val="7"/>
  </w:num>
  <w:num w:numId="2" w16cid:durableId="1096825796">
    <w:abstractNumId w:val="1"/>
  </w:num>
  <w:num w:numId="3" w16cid:durableId="1169753708">
    <w:abstractNumId w:val="9"/>
  </w:num>
  <w:num w:numId="4" w16cid:durableId="1329015674">
    <w:abstractNumId w:val="5"/>
  </w:num>
  <w:num w:numId="5" w16cid:durableId="493378999">
    <w:abstractNumId w:val="6"/>
  </w:num>
  <w:num w:numId="6" w16cid:durableId="715735797">
    <w:abstractNumId w:val="3"/>
  </w:num>
  <w:num w:numId="7" w16cid:durableId="101850536">
    <w:abstractNumId w:val="0"/>
  </w:num>
  <w:num w:numId="8" w16cid:durableId="392629114">
    <w:abstractNumId w:val="2"/>
  </w:num>
  <w:num w:numId="9" w16cid:durableId="221604668">
    <w:abstractNumId w:val="10"/>
  </w:num>
  <w:num w:numId="10" w16cid:durableId="321585519">
    <w:abstractNumId w:val="4"/>
  </w:num>
  <w:num w:numId="11" w16cid:durableId="15478383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C3"/>
    <w:rsid w:val="00006CE2"/>
    <w:rsid w:val="0002446C"/>
    <w:rsid w:val="00032DC7"/>
    <w:rsid w:val="000336D9"/>
    <w:rsid w:val="000536E4"/>
    <w:rsid w:val="000540FA"/>
    <w:rsid w:val="00060ABC"/>
    <w:rsid w:val="000617BD"/>
    <w:rsid w:val="00065469"/>
    <w:rsid w:val="00076EA6"/>
    <w:rsid w:val="00084B5A"/>
    <w:rsid w:val="00087240"/>
    <w:rsid w:val="00087A31"/>
    <w:rsid w:val="000A1026"/>
    <w:rsid w:val="000A620D"/>
    <w:rsid w:val="000A65B9"/>
    <w:rsid w:val="000A6A57"/>
    <w:rsid w:val="000A6E94"/>
    <w:rsid w:val="000B52EC"/>
    <w:rsid w:val="000B5D4E"/>
    <w:rsid w:val="000C647E"/>
    <w:rsid w:val="000D79ED"/>
    <w:rsid w:val="000E26C8"/>
    <w:rsid w:val="000E4630"/>
    <w:rsid w:val="000F4112"/>
    <w:rsid w:val="000F6004"/>
    <w:rsid w:val="00123608"/>
    <w:rsid w:val="00123817"/>
    <w:rsid w:val="00126E15"/>
    <w:rsid w:val="001363DD"/>
    <w:rsid w:val="0014632C"/>
    <w:rsid w:val="0014664D"/>
    <w:rsid w:val="00153791"/>
    <w:rsid w:val="001666C1"/>
    <w:rsid w:val="00170968"/>
    <w:rsid w:val="00191129"/>
    <w:rsid w:val="00197876"/>
    <w:rsid w:val="001A5F21"/>
    <w:rsid w:val="001B4350"/>
    <w:rsid w:val="001C2323"/>
    <w:rsid w:val="001C6A1B"/>
    <w:rsid w:val="001D1742"/>
    <w:rsid w:val="001D6F2F"/>
    <w:rsid w:val="001F089B"/>
    <w:rsid w:val="001F2444"/>
    <w:rsid w:val="002005FD"/>
    <w:rsid w:val="00200759"/>
    <w:rsid w:val="002015E9"/>
    <w:rsid w:val="0020320A"/>
    <w:rsid w:val="00204B76"/>
    <w:rsid w:val="0022413B"/>
    <w:rsid w:val="0022719D"/>
    <w:rsid w:val="00230A1A"/>
    <w:rsid w:val="002349D6"/>
    <w:rsid w:val="0027183A"/>
    <w:rsid w:val="00275ABC"/>
    <w:rsid w:val="00281B4A"/>
    <w:rsid w:val="00284480"/>
    <w:rsid w:val="0029723B"/>
    <w:rsid w:val="002A08F7"/>
    <w:rsid w:val="002B24E8"/>
    <w:rsid w:val="002B2C7D"/>
    <w:rsid w:val="002C311D"/>
    <w:rsid w:val="002D6B1D"/>
    <w:rsid w:val="002E6BD5"/>
    <w:rsid w:val="002F031C"/>
    <w:rsid w:val="002F12FF"/>
    <w:rsid w:val="00310B59"/>
    <w:rsid w:val="00324433"/>
    <w:rsid w:val="0032488E"/>
    <w:rsid w:val="003334E2"/>
    <w:rsid w:val="00335058"/>
    <w:rsid w:val="00336D36"/>
    <w:rsid w:val="00357626"/>
    <w:rsid w:val="00360BBF"/>
    <w:rsid w:val="00363A16"/>
    <w:rsid w:val="00370308"/>
    <w:rsid w:val="00374A9D"/>
    <w:rsid w:val="00383C64"/>
    <w:rsid w:val="003849B5"/>
    <w:rsid w:val="00393520"/>
    <w:rsid w:val="003964F7"/>
    <w:rsid w:val="003B18BB"/>
    <w:rsid w:val="003B5ECB"/>
    <w:rsid w:val="003C2A9C"/>
    <w:rsid w:val="003C7305"/>
    <w:rsid w:val="003D033D"/>
    <w:rsid w:val="003D6453"/>
    <w:rsid w:val="003D71D4"/>
    <w:rsid w:val="003D765C"/>
    <w:rsid w:val="003E5A44"/>
    <w:rsid w:val="003F078E"/>
    <w:rsid w:val="003F236A"/>
    <w:rsid w:val="00405D8E"/>
    <w:rsid w:val="004067A0"/>
    <w:rsid w:val="004070BB"/>
    <w:rsid w:val="00415136"/>
    <w:rsid w:val="00415F76"/>
    <w:rsid w:val="004316DB"/>
    <w:rsid w:val="004326A8"/>
    <w:rsid w:val="004404F5"/>
    <w:rsid w:val="00446A64"/>
    <w:rsid w:val="00446C42"/>
    <w:rsid w:val="00451B74"/>
    <w:rsid w:val="0045778B"/>
    <w:rsid w:val="00464AF1"/>
    <w:rsid w:val="00471FD7"/>
    <w:rsid w:val="00473BFF"/>
    <w:rsid w:val="0047640D"/>
    <w:rsid w:val="004809AA"/>
    <w:rsid w:val="00481FE1"/>
    <w:rsid w:val="004833C8"/>
    <w:rsid w:val="00485A1C"/>
    <w:rsid w:val="00492E76"/>
    <w:rsid w:val="0049312B"/>
    <w:rsid w:val="00496A28"/>
    <w:rsid w:val="004A2FA4"/>
    <w:rsid w:val="004B4824"/>
    <w:rsid w:val="004B7BC1"/>
    <w:rsid w:val="004C0C92"/>
    <w:rsid w:val="004C2199"/>
    <w:rsid w:val="004C36DF"/>
    <w:rsid w:val="004D2EDF"/>
    <w:rsid w:val="004D5AAD"/>
    <w:rsid w:val="004D5BDC"/>
    <w:rsid w:val="004D78BA"/>
    <w:rsid w:val="004E1986"/>
    <w:rsid w:val="004E30C5"/>
    <w:rsid w:val="004E32DD"/>
    <w:rsid w:val="004F79F2"/>
    <w:rsid w:val="00504536"/>
    <w:rsid w:val="005105FC"/>
    <w:rsid w:val="00510867"/>
    <w:rsid w:val="00520C03"/>
    <w:rsid w:val="00524A0D"/>
    <w:rsid w:val="005307CC"/>
    <w:rsid w:val="00531F99"/>
    <w:rsid w:val="00535E8E"/>
    <w:rsid w:val="00537528"/>
    <w:rsid w:val="005574BE"/>
    <w:rsid w:val="005717FC"/>
    <w:rsid w:val="0057599E"/>
    <w:rsid w:val="00590300"/>
    <w:rsid w:val="0059585A"/>
    <w:rsid w:val="005A36DE"/>
    <w:rsid w:val="005F5EEF"/>
    <w:rsid w:val="005F5F02"/>
    <w:rsid w:val="00616352"/>
    <w:rsid w:val="006201DA"/>
    <w:rsid w:val="00622E80"/>
    <w:rsid w:val="00633366"/>
    <w:rsid w:val="006427B7"/>
    <w:rsid w:val="0065240B"/>
    <w:rsid w:val="0065323F"/>
    <w:rsid w:val="00661858"/>
    <w:rsid w:val="00662091"/>
    <w:rsid w:val="00665DED"/>
    <w:rsid w:val="0066678F"/>
    <w:rsid w:val="006730FD"/>
    <w:rsid w:val="00681AC8"/>
    <w:rsid w:val="00682C97"/>
    <w:rsid w:val="00693376"/>
    <w:rsid w:val="006A07A9"/>
    <w:rsid w:val="006C23A9"/>
    <w:rsid w:val="006D0B35"/>
    <w:rsid w:val="006D4A53"/>
    <w:rsid w:val="006E5106"/>
    <w:rsid w:val="006E5D2E"/>
    <w:rsid w:val="006E766E"/>
    <w:rsid w:val="006F0B8E"/>
    <w:rsid w:val="006F3EDF"/>
    <w:rsid w:val="006F4295"/>
    <w:rsid w:val="006F7CD8"/>
    <w:rsid w:val="00712C66"/>
    <w:rsid w:val="00716477"/>
    <w:rsid w:val="007228A7"/>
    <w:rsid w:val="00726EA3"/>
    <w:rsid w:val="0073604C"/>
    <w:rsid w:val="00737838"/>
    <w:rsid w:val="007455B3"/>
    <w:rsid w:val="00751352"/>
    <w:rsid w:val="00751F24"/>
    <w:rsid w:val="007602FE"/>
    <w:rsid w:val="007617A8"/>
    <w:rsid w:val="0076316F"/>
    <w:rsid w:val="00770EA9"/>
    <w:rsid w:val="0077273E"/>
    <w:rsid w:val="00774A9F"/>
    <w:rsid w:val="007765EF"/>
    <w:rsid w:val="00784636"/>
    <w:rsid w:val="00785CF4"/>
    <w:rsid w:val="007944D2"/>
    <w:rsid w:val="0079523E"/>
    <w:rsid w:val="007B17A4"/>
    <w:rsid w:val="007B17DF"/>
    <w:rsid w:val="007B23EA"/>
    <w:rsid w:val="007B3983"/>
    <w:rsid w:val="007B6362"/>
    <w:rsid w:val="007C237E"/>
    <w:rsid w:val="007C339D"/>
    <w:rsid w:val="007D17E3"/>
    <w:rsid w:val="007D1D0B"/>
    <w:rsid w:val="007D41F9"/>
    <w:rsid w:val="007F4A18"/>
    <w:rsid w:val="0080689D"/>
    <w:rsid w:val="00810005"/>
    <w:rsid w:val="0081246A"/>
    <w:rsid w:val="00816EEA"/>
    <w:rsid w:val="0081766D"/>
    <w:rsid w:val="008252B8"/>
    <w:rsid w:val="008312CF"/>
    <w:rsid w:val="0083385A"/>
    <w:rsid w:val="00834FD7"/>
    <w:rsid w:val="00836DFD"/>
    <w:rsid w:val="00855E14"/>
    <w:rsid w:val="00862A4E"/>
    <w:rsid w:val="008634F9"/>
    <w:rsid w:val="00867E54"/>
    <w:rsid w:val="00872BED"/>
    <w:rsid w:val="008752CC"/>
    <w:rsid w:val="0088624F"/>
    <w:rsid w:val="00887C21"/>
    <w:rsid w:val="00893BA3"/>
    <w:rsid w:val="008952DF"/>
    <w:rsid w:val="00897ADF"/>
    <w:rsid w:val="008A3812"/>
    <w:rsid w:val="008B1FA3"/>
    <w:rsid w:val="008B6724"/>
    <w:rsid w:val="008B67B2"/>
    <w:rsid w:val="008E2003"/>
    <w:rsid w:val="008E3D37"/>
    <w:rsid w:val="00901BA2"/>
    <w:rsid w:val="0091175E"/>
    <w:rsid w:val="00916DBF"/>
    <w:rsid w:val="009255E9"/>
    <w:rsid w:val="00940630"/>
    <w:rsid w:val="009453D6"/>
    <w:rsid w:val="00945DA3"/>
    <w:rsid w:val="009700C1"/>
    <w:rsid w:val="009811BD"/>
    <w:rsid w:val="00984156"/>
    <w:rsid w:val="00987C70"/>
    <w:rsid w:val="009A00F4"/>
    <w:rsid w:val="009A03B3"/>
    <w:rsid w:val="009B0887"/>
    <w:rsid w:val="009B41EF"/>
    <w:rsid w:val="009B4730"/>
    <w:rsid w:val="009B5669"/>
    <w:rsid w:val="009D5339"/>
    <w:rsid w:val="009F4DA2"/>
    <w:rsid w:val="00A05A49"/>
    <w:rsid w:val="00A1623C"/>
    <w:rsid w:val="00A167EB"/>
    <w:rsid w:val="00A20C31"/>
    <w:rsid w:val="00A211BC"/>
    <w:rsid w:val="00A22D70"/>
    <w:rsid w:val="00A23A92"/>
    <w:rsid w:val="00A24468"/>
    <w:rsid w:val="00A363CF"/>
    <w:rsid w:val="00A3785F"/>
    <w:rsid w:val="00A416B5"/>
    <w:rsid w:val="00A54E21"/>
    <w:rsid w:val="00A57F3E"/>
    <w:rsid w:val="00A61954"/>
    <w:rsid w:val="00A62736"/>
    <w:rsid w:val="00A64A14"/>
    <w:rsid w:val="00A72238"/>
    <w:rsid w:val="00A7323B"/>
    <w:rsid w:val="00A805B7"/>
    <w:rsid w:val="00A83D6F"/>
    <w:rsid w:val="00A86E15"/>
    <w:rsid w:val="00A91C7B"/>
    <w:rsid w:val="00A923F9"/>
    <w:rsid w:val="00AA605E"/>
    <w:rsid w:val="00AB4926"/>
    <w:rsid w:val="00AB5078"/>
    <w:rsid w:val="00AD1685"/>
    <w:rsid w:val="00AD2B33"/>
    <w:rsid w:val="00AE353D"/>
    <w:rsid w:val="00AE3721"/>
    <w:rsid w:val="00AF36BB"/>
    <w:rsid w:val="00AF592C"/>
    <w:rsid w:val="00AF7319"/>
    <w:rsid w:val="00B116CF"/>
    <w:rsid w:val="00B13C89"/>
    <w:rsid w:val="00B14D92"/>
    <w:rsid w:val="00B237C0"/>
    <w:rsid w:val="00B2440B"/>
    <w:rsid w:val="00B2539C"/>
    <w:rsid w:val="00B377FC"/>
    <w:rsid w:val="00B4254C"/>
    <w:rsid w:val="00B4334B"/>
    <w:rsid w:val="00B45E2A"/>
    <w:rsid w:val="00B4640C"/>
    <w:rsid w:val="00B530D1"/>
    <w:rsid w:val="00B66714"/>
    <w:rsid w:val="00B70557"/>
    <w:rsid w:val="00BA3EE2"/>
    <w:rsid w:val="00BC0B5A"/>
    <w:rsid w:val="00BC24A2"/>
    <w:rsid w:val="00BE0134"/>
    <w:rsid w:val="00BE647D"/>
    <w:rsid w:val="00BE790E"/>
    <w:rsid w:val="00BF7B05"/>
    <w:rsid w:val="00C00AB0"/>
    <w:rsid w:val="00C01660"/>
    <w:rsid w:val="00C04E1B"/>
    <w:rsid w:val="00C15207"/>
    <w:rsid w:val="00C22BBA"/>
    <w:rsid w:val="00C30C35"/>
    <w:rsid w:val="00C30FC7"/>
    <w:rsid w:val="00C36CFE"/>
    <w:rsid w:val="00C475A5"/>
    <w:rsid w:val="00C520E4"/>
    <w:rsid w:val="00C55EB0"/>
    <w:rsid w:val="00C76933"/>
    <w:rsid w:val="00C80EE2"/>
    <w:rsid w:val="00C864AE"/>
    <w:rsid w:val="00C9277A"/>
    <w:rsid w:val="00CC77D3"/>
    <w:rsid w:val="00CD2121"/>
    <w:rsid w:val="00CE3656"/>
    <w:rsid w:val="00CE4269"/>
    <w:rsid w:val="00CE50CD"/>
    <w:rsid w:val="00CE59A1"/>
    <w:rsid w:val="00CE64D0"/>
    <w:rsid w:val="00CF1D31"/>
    <w:rsid w:val="00D0121E"/>
    <w:rsid w:val="00D017C3"/>
    <w:rsid w:val="00D10D4C"/>
    <w:rsid w:val="00D12AE0"/>
    <w:rsid w:val="00D13156"/>
    <w:rsid w:val="00D25757"/>
    <w:rsid w:val="00D349E1"/>
    <w:rsid w:val="00D47E59"/>
    <w:rsid w:val="00D50DDB"/>
    <w:rsid w:val="00D57E52"/>
    <w:rsid w:val="00D61737"/>
    <w:rsid w:val="00D64EA4"/>
    <w:rsid w:val="00D650DD"/>
    <w:rsid w:val="00D6546E"/>
    <w:rsid w:val="00D702F6"/>
    <w:rsid w:val="00D7279C"/>
    <w:rsid w:val="00D72E8D"/>
    <w:rsid w:val="00D73655"/>
    <w:rsid w:val="00D76202"/>
    <w:rsid w:val="00D77D29"/>
    <w:rsid w:val="00D84F53"/>
    <w:rsid w:val="00D96E20"/>
    <w:rsid w:val="00D97FC3"/>
    <w:rsid w:val="00DA5FD5"/>
    <w:rsid w:val="00DB177F"/>
    <w:rsid w:val="00DB6FC8"/>
    <w:rsid w:val="00DC7161"/>
    <w:rsid w:val="00DD4080"/>
    <w:rsid w:val="00DE2E86"/>
    <w:rsid w:val="00DE6FAD"/>
    <w:rsid w:val="00DF48B7"/>
    <w:rsid w:val="00E024E8"/>
    <w:rsid w:val="00E061E5"/>
    <w:rsid w:val="00E078E6"/>
    <w:rsid w:val="00E1542F"/>
    <w:rsid w:val="00E16AA9"/>
    <w:rsid w:val="00E175BB"/>
    <w:rsid w:val="00E24829"/>
    <w:rsid w:val="00E462E3"/>
    <w:rsid w:val="00E60D33"/>
    <w:rsid w:val="00E63416"/>
    <w:rsid w:val="00E744E0"/>
    <w:rsid w:val="00E74AC9"/>
    <w:rsid w:val="00E805EF"/>
    <w:rsid w:val="00E92308"/>
    <w:rsid w:val="00E92A7A"/>
    <w:rsid w:val="00E931AE"/>
    <w:rsid w:val="00E951E3"/>
    <w:rsid w:val="00E97B9C"/>
    <w:rsid w:val="00EA0A05"/>
    <w:rsid w:val="00EA791D"/>
    <w:rsid w:val="00EB091B"/>
    <w:rsid w:val="00EB6BD0"/>
    <w:rsid w:val="00EC181C"/>
    <w:rsid w:val="00EC2517"/>
    <w:rsid w:val="00EC50B5"/>
    <w:rsid w:val="00ED3E43"/>
    <w:rsid w:val="00EE3CBE"/>
    <w:rsid w:val="00EF2996"/>
    <w:rsid w:val="00EF3887"/>
    <w:rsid w:val="00EF7A77"/>
    <w:rsid w:val="00F01850"/>
    <w:rsid w:val="00F1009F"/>
    <w:rsid w:val="00F2175B"/>
    <w:rsid w:val="00F407FA"/>
    <w:rsid w:val="00F40EAB"/>
    <w:rsid w:val="00F41C8D"/>
    <w:rsid w:val="00F43A91"/>
    <w:rsid w:val="00F51FE2"/>
    <w:rsid w:val="00F53C56"/>
    <w:rsid w:val="00F7039B"/>
    <w:rsid w:val="00F71D17"/>
    <w:rsid w:val="00F80634"/>
    <w:rsid w:val="00F83EBD"/>
    <w:rsid w:val="00F87B8D"/>
    <w:rsid w:val="00F946F9"/>
    <w:rsid w:val="00F94763"/>
    <w:rsid w:val="00FA3591"/>
    <w:rsid w:val="00FA577D"/>
    <w:rsid w:val="00FA65E1"/>
    <w:rsid w:val="00FB14B9"/>
    <w:rsid w:val="00FB3A6B"/>
    <w:rsid w:val="00FB4D8C"/>
    <w:rsid w:val="00FC21EA"/>
    <w:rsid w:val="00FD07E0"/>
    <w:rsid w:val="00FF1E6A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F13C4"/>
  <w15:chartTrackingRefBased/>
  <w15:docId w15:val="{207A8A4A-32F8-4220-8A4A-C90B987B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592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DA24427AA245BF703B9839910EF9" ma:contentTypeVersion="0" ma:contentTypeDescription="Create a new document." ma:contentTypeScope="" ma:versionID="e019ca2278aad165c24d347ee5d57a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C7504E-64D2-4C15-B2CE-95BBA93CB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Pinder, Simon</dc:creator>
  <cp:keywords/>
  <dc:description/>
  <cp:lastModifiedBy>Pinder, Simon</cp:lastModifiedBy>
  <cp:revision>4</cp:revision>
  <cp:lastPrinted>2023-01-25T08:35:00Z</cp:lastPrinted>
  <dcterms:created xsi:type="dcterms:W3CDTF">2023-01-26T08:30:00Z</dcterms:created>
  <dcterms:modified xsi:type="dcterms:W3CDTF">2023-01-26T08:32:00Z</dcterms:modified>
</cp:coreProperties>
</file>